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E6C" w:rsidRPr="0033336C" w:rsidRDefault="002B4E87" w:rsidP="002B4E87">
      <w:pPr>
        <w:rPr>
          <w:b/>
          <w:sz w:val="28"/>
          <w:szCs w:val="28"/>
        </w:rPr>
      </w:pPr>
      <w:bookmarkStart w:id="0" w:name="_GoBack"/>
      <w:bookmarkEnd w:id="0"/>
      <w:r w:rsidRPr="002B4E87">
        <w:rPr>
          <w:b/>
          <w:sz w:val="28"/>
          <w:szCs w:val="28"/>
        </w:rPr>
        <w:t xml:space="preserve">OM EN MULIG SAMMENSLUTNING AV </w:t>
      </w:r>
      <w:r w:rsidR="00794085">
        <w:rPr>
          <w:b/>
          <w:sz w:val="28"/>
          <w:szCs w:val="28"/>
        </w:rPr>
        <w:t xml:space="preserve">BRF-ENE </w:t>
      </w:r>
      <w:r w:rsidRPr="002B4E87">
        <w:rPr>
          <w:b/>
          <w:sz w:val="28"/>
          <w:szCs w:val="28"/>
        </w:rPr>
        <w:t>T</w:t>
      </w:r>
      <w:r w:rsidRPr="0033336C">
        <w:rPr>
          <w:b/>
          <w:sz w:val="28"/>
          <w:szCs w:val="28"/>
        </w:rPr>
        <w:t>IL EN FELLES BOSTADSRÄTTSFÖRENING.</w:t>
      </w:r>
    </w:p>
    <w:p w:rsidR="000E4E6C" w:rsidRPr="0033336C" w:rsidRDefault="000E4E6C" w:rsidP="00E154D2">
      <w:pPr>
        <w:tabs>
          <w:tab w:val="left" w:pos="1191"/>
          <w:tab w:val="left" w:pos="2495"/>
          <w:tab w:val="left" w:pos="3799"/>
          <w:tab w:val="left" w:pos="5103"/>
          <w:tab w:val="left" w:pos="6407"/>
          <w:tab w:val="left" w:pos="7711"/>
          <w:tab w:val="left" w:pos="9015"/>
          <w:tab w:val="left" w:pos="10319"/>
        </w:tabs>
        <w:rPr>
          <w:b/>
        </w:rPr>
      </w:pPr>
    </w:p>
    <w:p w:rsidR="00863D63" w:rsidRDefault="00641397" w:rsidP="00863D63">
      <w:r>
        <w:t xml:space="preserve">Etter at Strømstad kommune satte en stopp for </w:t>
      </w:r>
      <w:r w:rsidRPr="001150D6">
        <w:t xml:space="preserve">at medlemmene </w:t>
      </w:r>
      <w:r>
        <w:t xml:space="preserve">kunne </w:t>
      </w:r>
      <w:r w:rsidRPr="001150D6">
        <w:t>frikjøper husene og blir selveiere til separate eiendommer</w:t>
      </w:r>
      <w:r>
        <w:t xml:space="preserve">, </w:t>
      </w:r>
      <w:r w:rsidR="002B4E87">
        <w:t>er</w:t>
      </w:r>
      <w:r>
        <w:t xml:space="preserve"> spørsmålet om å slå sammen de fire Brf-ene til ett Brf kommet opp på nytt.</w:t>
      </w:r>
    </w:p>
    <w:p w:rsidR="00641397" w:rsidRDefault="00641397" w:rsidP="00863D63"/>
    <w:p w:rsidR="0002363D" w:rsidRDefault="0002363D" w:rsidP="00E154D2">
      <w:r>
        <w:t xml:space="preserve">I </w:t>
      </w:r>
      <w:r w:rsidR="00E206E7">
        <w:t xml:space="preserve">dette </w:t>
      </w:r>
      <w:r w:rsidR="009445F0">
        <w:t>n</w:t>
      </w:r>
      <w:r>
        <w:t xml:space="preserve">otatet er det tatt utgangspunkt i de verdiene som framkommer i de reviderte og godkjente regnskapene for Brf-ene for perioden 01.07.2016 – 30.06.2017 og per 30.06.2017. </w:t>
      </w:r>
    </w:p>
    <w:p w:rsidR="00DA218B" w:rsidRDefault="00DA218B"/>
    <w:p w:rsidR="00DA218B" w:rsidRPr="00E154D2" w:rsidRDefault="00DA218B" w:rsidP="00DA218B"/>
    <w:p w:rsidR="00DA218B" w:rsidRPr="0033336C" w:rsidRDefault="0033336C" w:rsidP="0033336C">
      <w:pPr>
        <w:pStyle w:val="Overskrift1"/>
      </w:pPr>
      <w:r w:rsidRPr="0033336C">
        <w:t>En vurdering av inntekter, kostnader og muligheter for reduserte kostnader</w:t>
      </w:r>
    </w:p>
    <w:p w:rsidR="00DA218B" w:rsidRDefault="00DA218B" w:rsidP="00DA218B">
      <w:pPr>
        <w:tabs>
          <w:tab w:val="num" w:pos="0"/>
        </w:tabs>
      </w:pPr>
    </w:p>
    <w:p w:rsidR="00DA218B" w:rsidRDefault="00DA218B" w:rsidP="00DA218B">
      <w:pPr>
        <w:tabs>
          <w:tab w:val="num" w:pos="0"/>
        </w:tabs>
      </w:pPr>
      <w:r>
        <w:t>Den månedlige husleia i de fire Brf-ene er som følger:</w:t>
      </w:r>
    </w:p>
    <w:p w:rsidR="003B7A6F" w:rsidRDefault="003B7A6F" w:rsidP="00DA218B">
      <w:pPr>
        <w:tabs>
          <w:tab w:val="num" w:pos="0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</w:tblGrid>
      <w:tr w:rsidR="004519D3" w:rsidRPr="0038742F" w:rsidTr="007D109C">
        <w:tc>
          <w:tcPr>
            <w:tcW w:w="1555" w:type="dxa"/>
          </w:tcPr>
          <w:p w:rsidR="004519D3" w:rsidRDefault="004519D3" w:rsidP="007D109C"/>
        </w:tc>
        <w:tc>
          <w:tcPr>
            <w:tcW w:w="1701" w:type="dxa"/>
          </w:tcPr>
          <w:p w:rsidR="004519D3" w:rsidRPr="0038742F" w:rsidRDefault="004519D3" w:rsidP="00C3247E">
            <w:pPr>
              <w:jc w:val="center"/>
            </w:pPr>
            <w:r>
              <w:t>Lave hus</w:t>
            </w:r>
          </w:p>
        </w:tc>
        <w:tc>
          <w:tcPr>
            <w:tcW w:w="1701" w:type="dxa"/>
          </w:tcPr>
          <w:p w:rsidR="004519D3" w:rsidRPr="0038742F" w:rsidRDefault="004519D3" w:rsidP="00C3247E">
            <w:pPr>
              <w:jc w:val="center"/>
            </w:pPr>
            <w:r>
              <w:t>Høye hus</w:t>
            </w:r>
          </w:p>
        </w:tc>
      </w:tr>
      <w:tr w:rsidR="004519D3" w:rsidRPr="0038742F" w:rsidTr="007D109C">
        <w:tc>
          <w:tcPr>
            <w:tcW w:w="1555" w:type="dxa"/>
          </w:tcPr>
          <w:p w:rsidR="004519D3" w:rsidRPr="0038742F" w:rsidRDefault="004519D3" w:rsidP="007D109C">
            <w:r>
              <w:t>Brf 1</w:t>
            </w:r>
          </w:p>
        </w:tc>
        <w:tc>
          <w:tcPr>
            <w:tcW w:w="1701" w:type="dxa"/>
          </w:tcPr>
          <w:p w:rsidR="004519D3" w:rsidRPr="0038742F" w:rsidRDefault="00BE7F67" w:rsidP="00C3247E">
            <w:pPr>
              <w:jc w:val="center"/>
            </w:pPr>
            <w:r>
              <w:t>3 090</w:t>
            </w:r>
          </w:p>
        </w:tc>
        <w:tc>
          <w:tcPr>
            <w:tcW w:w="1701" w:type="dxa"/>
          </w:tcPr>
          <w:p w:rsidR="004519D3" w:rsidRPr="0038742F" w:rsidRDefault="003B7A6F" w:rsidP="00C3247E">
            <w:pPr>
              <w:jc w:val="center"/>
            </w:pPr>
            <w:r>
              <w:t>3 120</w:t>
            </w:r>
          </w:p>
        </w:tc>
      </w:tr>
      <w:tr w:rsidR="004519D3" w:rsidRPr="0038742F" w:rsidTr="007D109C">
        <w:tc>
          <w:tcPr>
            <w:tcW w:w="1555" w:type="dxa"/>
          </w:tcPr>
          <w:p w:rsidR="004519D3" w:rsidRDefault="004519D3" w:rsidP="007D109C">
            <w:r w:rsidRPr="001C7C79">
              <w:t xml:space="preserve">Brf </w:t>
            </w:r>
            <w:r>
              <w:t>2</w:t>
            </w:r>
          </w:p>
        </w:tc>
        <w:tc>
          <w:tcPr>
            <w:tcW w:w="1701" w:type="dxa"/>
          </w:tcPr>
          <w:p w:rsidR="004519D3" w:rsidRPr="0038742F" w:rsidRDefault="003B7A6F" w:rsidP="00C3247E">
            <w:pPr>
              <w:jc w:val="center"/>
            </w:pPr>
            <w:r>
              <w:t>3 103</w:t>
            </w:r>
          </w:p>
        </w:tc>
        <w:tc>
          <w:tcPr>
            <w:tcW w:w="1701" w:type="dxa"/>
          </w:tcPr>
          <w:p w:rsidR="004519D3" w:rsidRPr="0038742F" w:rsidRDefault="00BE7F67" w:rsidP="00C3247E">
            <w:pPr>
              <w:jc w:val="center"/>
            </w:pPr>
            <w:r>
              <w:t>3 138</w:t>
            </w:r>
          </w:p>
        </w:tc>
      </w:tr>
      <w:tr w:rsidR="004519D3" w:rsidRPr="0038742F" w:rsidTr="007D109C">
        <w:tc>
          <w:tcPr>
            <w:tcW w:w="1555" w:type="dxa"/>
          </w:tcPr>
          <w:p w:rsidR="004519D3" w:rsidRDefault="004519D3" w:rsidP="007D109C">
            <w:r w:rsidRPr="001C7C79">
              <w:t xml:space="preserve">Brf </w:t>
            </w:r>
            <w:r>
              <w:t>3</w:t>
            </w:r>
          </w:p>
        </w:tc>
        <w:tc>
          <w:tcPr>
            <w:tcW w:w="1701" w:type="dxa"/>
          </w:tcPr>
          <w:p w:rsidR="004519D3" w:rsidRPr="0038742F" w:rsidRDefault="00BE7F67" w:rsidP="00C3247E">
            <w:pPr>
              <w:jc w:val="center"/>
            </w:pPr>
            <w:r>
              <w:t>3 1</w:t>
            </w:r>
            <w:r w:rsidR="003B7A6F">
              <w:t>15</w:t>
            </w:r>
          </w:p>
        </w:tc>
        <w:tc>
          <w:tcPr>
            <w:tcW w:w="1701" w:type="dxa"/>
          </w:tcPr>
          <w:p w:rsidR="004519D3" w:rsidRPr="0038742F" w:rsidRDefault="003B7A6F" w:rsidP="00C3247E">
            <w:pPr>
              <w:jc w:val="center"/>
            </w:pPr>
            <w:r>
              <w:t>3 136</w:t>
            </w:r>
          </w:p>
        </w:tc>
      </w:tr>
      <w:tr w:rsidR="004519D3" w:rsidRPr="0038742F" w:rsidTr="007D109C">
        <w:tc>
          <w:tcPr>
            <w:tcW w:w="1555" w:type="dxa"/>
          </w:tcPr>
          <w:p w:rsidR="004519D3" w:rsidRDefault="004519D3" w:rsidP="007D109C">
            <w:r w:rsidRPr="001C7C79">
              <w:t xml:space="preserve">Brf </w:t>
            </w:r>
            <w:r>
              <w:t>4</w:t>
            </w:r>
          </w:p>
        </w:tc>
        <w:tc>
          <w:tcPr>
            <w:tcW w:w="1701" w:type="dxa"/>
          </w:tcPr>
          <w:p w:rsidR="004519D3" w:rsidRPr="0038742F" w:rsidRDefault="003B7A6F" w:rsidP="00C3247E">
            <w:pPr>
              <w:jc w:val="center"/>
            </w:pPr>
            <w:r>
              <w:t>3 115</w:t>
            </w:r>
          </w:p>
        </w:tc>
        <w:tc>
          <w:tcPr>
            <w:tcW w:w="1701" w:type="dxa"/>
          </w:tcPr>
          <w:p w:rsidR="004519D3" w:rsidRPr="0038742F" w:rsidRDefault="00BE7F67" w:rsidP="00C3247E">
            <w:pPr>
              <w:jc w:val="center"/>
            </w:pPr>
            <w:r>
              <w:t>3 115</w:t>
            </w:r>
          </w:p>
        </w:tc>
      </w:tr>
    </w:tbl>
    <w:p w:rsidR="004519D3" w:rsidRDefault="004519D3" w:rsidP="00DA218B">
      <w:pPr>
        <w:tabs>
          <w:tab w:val="num" w:pos="0"/>
        </w:tabs>
      </w:pPr>
    </w:p>
    <w:p w:rsidR="00DA218B" w:rsidRDefault="004519D3" w:rsidP="00DA218B">
      <w:pPr>
        <w:tabs>
          <w:tab w:val="num" w:pos="0"/>
        </w:tabs>
        <w:rPr>
          <w:b/>
          <w:bCs/>
          <w:color w:val="000000"/>
          <w:sz w:val="22"/>
          <w:szCs w:val="22"/>
        </w:rPr>
      </w:pPr>
      <w:r>
        <w:t xml:space="preserve">De høye husene </w:t>
      </w:r>
      <w:r w:rsidR="00A855DB">
        <w:t xml:space="preserve">har </w:t>
      </w:r>
      <w:r>
        <w:t>et noe høyere areal enn de lave husene</w:t>
      </w:r>
      <w:r w:rsidR="0033336C">
        <w:t xml:space="preserve"> og</w:t>
      </w:r>
      <w:r>
        <w:t xml:space="preserve"> </w:t>
      </w:r>
      <w:r w:rsidR="00BE7F67">
        <w:t xml:space="preserve">ett </w:t>
      </w:r>
      <w:r w:rsidR="0033336C">
        <w:t>ekstra bad</w:t>
      </w:r>
      <w:r>
        <w:t>. Det er antakelig dette som er utslagsgivende for forskjellene mellom høye og lave hus</w:t>
      </w:r>
      <w:r w:rsidR="00A855DB">
        <w:t xml:space="preserve"> i Brf-ene 1 – 3</w:t>
      </w:r>
      <w:r w:rsidR="0033336C">
        <w:t>.</w:t>
      </w:r>
    </w:p>
    <w:p w:rsidR="007D109C" w:rsidRDefault="007D109C" w:rsidP="00DA218B">
      <w:pPr>
        <w:tabs>
          <w:tab w:val="num" w:pos="0"/>
        </w:tabs>
      </w:pPr>
    </w:p>
    <w:p w:rsidR="007D109C" w:rsidRDefault="007D109C" w:rsidP="00DA218B">
      <w:pPr>
        <w:tabs>
          <w:tab w:val="num" w:pos="0"/>
        </w:tabs>
      </w:pPr>
      <w:r>
        <w:t>De regnskapsførte kostnadene i Brf-ene for regnskapsåret 2016-2017 var som følger (alle tall i SEK):</w:t>
      </w:r>
    </w:p>
    <w:p w:rsidR="004519D3" w:rsidRPr="007D109C" w:rsidRDefault="004519D3">
      <w:pPr>
        <w:rPr>
          <w:sz w:val="22"/>
          <w:szCs w:val="22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47"/>
        <w:gridCol w:w="1247"/>
        <w:gridCol w:w="1248"/>
        <w:gridCol w:w="1247"/>
        <w:gridCol w:w="1248"/>
      </w:tblGrid>
      <w:tr w:rsidR="00357A4B" w:rsidRPr="007D109C" w:rsidTr="002B4E87">
        <w:trPr>
          <w:trHeight w:val="20"/>
          <w:tblHeader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A4B" w:rsidRPr="007D109C" w:rsidRDefault="00357A4B" w:rsidP="00357A4B">
            <w:pPr>
              <w:rPr>
                <w:color w:val="000000"/>
                <w:sz w:val="22"/>
                <w:szCs w:val="22"/>
              </w:rPr>
            </w:pPr>
            <w:bookmarkStart w:id="1" w:name="_Hlk517537095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A4B" w:rsidRPr="007D109C" w:rsidRDefault="00357A4B" w:rsidP="007D109C">
            <w:pPr>
              <w:jc w:val="right"/>
              <w:rPr>
                <w:b/>
                <w:sz w:val="22"/>
                <w:szCs w:val="22"/>
              </w:rPr>
            </w:pPr>
            <w:r w:rsidRPr="007D109C">
              <w:rPr>
                <w:b/>
                <w:sz w:val="22"/>
                <w:szCs w:val="22"/>
              </w:rPr>
              <w:t>Brf 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A4B" w:rsidRPr="007D109C" w:rsidRDefault="00357A4B" w:rsidP="007D109C">
            <w:pPr>
              <w:jc w:val="right"/>
              <w:rPr>
                <w:b/>
                <w:sz w:val="22"/>
                <w:szCs w:val="22"/>
              </w:rPr>
            </w:pPr>
            <w:r w:rsidRPr="007D109C">
              <w:rPr>
                <w:b/>
                <w:sz w:val="22"/>
                <w:szCs w:val="22"/>
              </w:rPr>
              <w:t>Brf 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A4B" w:rsidRPr="007D109C" w:rsidRDefault="00357A4B" w:rsidP="007D109C">
            <w:pPr>
              <w:jc w:val="right"/>
              <w:rPr>
                <w:b/>
                <w:sz w:val="22"/>
                <w:szCs w:val="22"/>
              </w:rPr>
            </w:pPr>
            <w:r w:rsidRPr="007D109C">
              <w:rPr>
                <w:b/>
                <w:sz w:val="22"/>
                <w:szCs w:val="22"/>
              </w:rPr>
              <w:t>Brf 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A4B" w:rsidRPr="007D109C" w:rsidRDefault="00357A4B" w:rsidP="007D109C">
            <w:pPr>
              <w:jc w:val="right"/>
              <w:rPr>
                <w:b/>
                <w:sz w:val="22"/>
                <w:szCs w:val="22"/>
              </w:rPr>
            </w:pPr>
            <w:r w:rsidRPr="007D109C">
              <w:rPr>
                <w:b/>
                <w:sz w:val="22"/>
                <w:szCs w:val="22"/>
              </w:rPr>
              <w:t>Brf 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7A4B" w:rsidRPr="007D109C" w:rsidRDefault="00357A4B" w:rsidP="007D109C">
            <w:pPr>
              <w:jc w:val="right"/>
              <w:rPr>
                <w:b/>
                <w:sz w:val="22"/>
                <w:szCs w:val="22"/>
              </w:rPr>
            </w:pPr>
            <w:r w:rsidRPr="007D109C">
              <w:rPr>
                <w:b/>
                <w:sz w:val="22"/>
                <w:szCs w:val="22"/>
              </w:rPr>
              <w:t>Sum</w:t>
            </w:r>
          </w:p>
        </w:tc>
      </w:tr>
      <w:tr w:rsidR="00E206E7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06E7" w:rsidRPr="007D109C" w:rsidRDefault="00E206E7" w:rsidP="007D10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109C">
              <w:rPr>
                <w:b/>
                <w:bCs/>
                <w:color w:val="000000"/>
                <w:sz w:val="22"/>
                <w:szCs w:val="22"/>
              </w:rPr>
              <w:t>Rörelsekostnader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6E7" w:rsidRPr="007D109C" w:rsidRDefault="00E206E7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6E7" w:rsidRPr="007D109C" w:rsidRDefault="00E206E7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6E7" w:rsidRPr="007D109C" w:rsidRDefault="00E206E7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6E7" w:rsidRPr="007D109C" w:rsidRDefault="00E206E7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06E7" w:rsidRPr="007D109C" w:rsidRDefault="00E206E7" w:rsidP="007D109C">
            <w:pPr>
              <w:jc w:val="right"/>
              <w:rPr>
                <w:sz w:val="22"/>
                <w:szCs w:val="22"/>
              </w:rPr>
            </w:pP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r w:rsidRPr="007D109C">
              <w:rPr>
                <w:color w:val="000000"/>
                <w:sz w:val="22"/>
                <w:szCs w:val="22"/>
              </w:rPr>
              <w:t xml:space="preserve">Vatten </w:t>
            </w:r>
            <w:proofErr w:type="spellStart"/>
            <w:r w:rsidRPr="007D109C">
              <w:rPr>
                <w:color w:val="000000"/>
                <w:sz w:val="22"/>
                <w:szCs w:val="22"/>
              </w:rPr>
              <w:t>och</w:t>
            </w:r>
            <w:proofErr w:type="spellEnd"/>
            <w:r w:rsidRPr="007D109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109C">
              <w:rPr>
                <w:color w:val="000000"/>
                <w:sz w:val="22"/>
                <w:szCs w:val="22"/>
              </w:rPr>
              <w:t>avlopp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83 007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53 469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48 612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53 251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238 339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r w:rsidRPr="007D109C">
              <w:rPr>
                <w:color w:val="000000"/>
                <w:sz w:val="22"/>
                <w:szCs w:val="22"/>
              </w:rPr>
              <w:t>Kabel TV service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35 792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22 158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20 453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17 043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95 446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109C">
              <w:rPr>
                <w:color w:val="000000"/>
                <w:sz w:val="22"/>
                <w:szCs w:val="22"/>
              </w:rPr>
              <w:t>Sophämtning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26 058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16 844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16 312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15 254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74 468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109C">
              <w:rPr>
                <w:color w:val="000000"/>
                <w:sz w:val="22"/>
                <w:szCs w:val="22"/>
              </w:rPr>
              <w:t>Snöröjning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0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r w:rsidRPr="007D109C">
              <w:rPr>
                <w:color w:val="000000"/>
                <w:sz w:val="22"/>
                <w:szCs w:val="22"/>
              </w:rPr>
              <w:t>Vägsamfällighet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7 500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4 700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4 350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3 650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20 200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109C">
              <w:rPr>
                <w:color w:val="000000"/>
                <w:sz w:val="22"/>
                <w:szCs w:val="22"/>
              </w:rPr>
              <w:t>Försäkringsprem</w:t>
            </w:r>
            <w:proofErr w:type="spellEnd"/>
            <w:r w:rsidRPr="007D109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109C">
              <w:rPr>
                <w:color w:val="000000"/>
                <w:sz w:val="22"/>
                <w:szCs w:val="22"/>
              </w:rPr>
              <w:t>fastighet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29 879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16 592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16 580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13 574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76 625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109C">
              <w:rPr>
                <w:color w:val="000000"/>
                <w:sz w:val="22"/>
                <w:szCs w:val="22"/>
              </w:rPr>
              <w:t>Fastighetsskötsel</w:t>
            </w:r>
            <w:proofErr w:type="spellEnd"/>
            <w:r w:rsidRPr="007D109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109C">
              <w:rPr>
                <w:color w:val="000000"/>
                <w:sz w:val="22"/>
                <w:szCs w:val="22"/>
              </w:rPr>
              <w:t>och</w:t>
            </w:r>
            <w:proofErr w:type="spellEnd"/>
            <w:r w:rsidRPr="007D109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109C">
              <w:rPr>
                <w:color w:val="000000"/>
                <w:sz w:val="22"/>
                <w:szCs w:val="22"/>
              </w:rPr>
              <w:t>förvaltning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3 780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32 532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29 527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25 255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91 094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109C">
              <w:rPr>
                <w:color w:val="000000"/>
                <w:sz w:val="22"/>
                <w:szCs w:val="22"/>
              </w:rPr>
              <w:t>Revisionsarvode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34 250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21 250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15 000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17 500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88 000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109C">
              <w:rPr>
                <w:color w:val="000000"/>
                <w:sz w:val="22"/>
                <w:szCs w:val="22"/>
              </w:rPr>
              <w:t>Arvode</w:t>
            </w:r>
            <w:proofErr w:type="spellEnd"/>
            <w:r w:rsidRPr="007D109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109C">
              <w:rPr>
                <w:color w:val="000000"/>
                <w:sz w:val="22"/>
                <w:szCs w:val="22"/>
              </w:rPr>
              <w:t>för</w:t>
            </w:r>
            <w:proofErr w:type="spellEnd"/>
            <w:r w:rsidRPr="007D109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109C">
              <w:rPr>
                <w:color w:val="000000"/>
                <w:sz w:val="22"/>
                <w:szCs w:val="22"/>
              </w:rPr>
              <w:t>ekonomisk</w:t>
            </w:r>
            <w:proofErr w:type="spellEnd"/>
            <w:r w:rsidRPr="007D109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109C">
              <w:rPr>
                <w:color w:val="000000"/>
                <w:sz w:val="22"/>
                <w:szCs w:val="22"/>
              </w:rPr>
              <w:t>förvaltning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96 156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58 063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52 908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38 471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245 598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r w:rsidRPr="007D109C">
              <w:rPr>
                <w:color w:val="000000"/>
                <w:sz w:val="22"/>
                <w:szCs w:val="22"/>
              </w:rPr>
              <w:t>Bankkostnader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1 570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1 368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1 390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1 320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5 648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r w:rsidRPr="007D109C">
              <w:rPr>
                <w:color w:val="000000"/>
                <w:sz w:val="22"/>
                <w:szCs w:val="22"/>
              </w:rPr>
              <w:t>Advokatkostnader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11 188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6 925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6 393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5 328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29 834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109C">
              <w:rPr>
                <w:color w:val="000000"/>
                <w:sz w:val="22"/>
                <w:szCs w:val="22"/>
              </w:rPr>
              <w:t>Övriga</w:t>
            </w:r>
            <w:proofErr w:type="spellEnd"/>
            <w:r w:rsidRPr="007D109C">
              <w:rPr>
                <w:color w:val="000000"/>
                <w:sz w:val="22"/>
                <w:szCs w:val="22"/>
              </w:rPr>
              <w:t xml:space="preserve"> kostnader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3 270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1 467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1 556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2 198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8 491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109C">
              <w:rPr>
                <w:color w:val="000000"/>
                <w:sz w:val="22"/>
                <w:szCs w:val="22"/>
              </w:rPr>
              <w:t>Fastighetsskatt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80 703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49 959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46 116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38 430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215 208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r w:rsidRPr="007D109C">
              <w:rPr>
                <w:color w:val="000000"/>
                <w:sz w:val="22"/>
                <w:szCs w:val="22"/>
              </w:rPr>
              <w:t>Kostnader Lantmäteriet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-7 912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-4 904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-4 527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-3 767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-21 110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109C">
              <w:rPr>
                <w:color w:val="000000"/>
                <w:sz w:val="22"/>
                <w:szCs w:val="22"/>
              </w:rPr>
              <w:t>Reparation</w:t>
            </w:r>
            <w:proofErr w:type="spellEnd"/>
            <w:r w:rsidRPr="007D109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109C">
              <w:rPr>
                <w:color w:val="000000"/>
                <w:sz w:val="22"/>
                <w:szCs w:val="22"/>
              </w:rPr>
              <w:t>och</w:t>
            </w:r>
            <w:proofErr w:type="spellEnd"/>
            <w:r w:rsidRPr="007D109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109C">
              <w:rPr>
                <w:color w:val="000000"/>
                <w:sz w:val="22"/>
                <w:szCs w:val="22"/>
              </w:rPr>
              <w:t>underhåll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38 390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2 719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2 510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2 091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45 710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109C">
              <w:rPr>
                <w:color w:val="000000"/>
                <w:sz w:val="22"/>
                <w:szCs w:val="22"/>
              </w:rPr>
              <w:t>Sotning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6 900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4 485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4 140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3 450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18 975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r w:rsidRPr="007D109C">
              <w:rPr>
                <w:color w:val="000000"/>
                <w:sz w:val="22"/>
                <w:szCs w:val="22"/>
              </w:rPr>
              <w:t xml:space="preserve">Årsavgift </w:t>
            </w:r>
            <w:proofErr w:type="spellStart"/>
            <w:r w:rsidRPr="007D109C">
              <w:rPr>
                <w:color w:val="000000"/>
                <w:sz w:val="22"/>
                <w:szCs w:val="22"/>
              </w:rPr>
              <w:t>gemensamhetsanläggningar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95 454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59 091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54 545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45 454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254 544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r w:rsidRPr="007D109C">
              <w:rPr>
                <w:color w:val="000000"/>
                <w:sz w:val="22"/>
                <w:szCs w:val="22"/>
              </w:rPr>
              <w:t>Personalkostnader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49 878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49 878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109C">
              <w:rPr>
                <w:color w:val="000000"/>
                <w:sz w:val="22"/>
                <w:szCs w:val="22"/>
              </w:rPr>
              <w:t>Avskrivningar</w:t>
            </w:r>
            <w:proofErr w:type="spellEnd"/>
            <w:r w:rsidRPr="007D109C">
              <w:rPr>
                <w:color w:val="000000"/>
                <w:sz w:val="22"/>
                <w:szCs w:val="22"/>
              </w:rPr>
              <w:t xml:space="preserve"> av </w:t>
            </w:r>
            <w:proofErr w:type="spellStart"/>
            <w:r w:rsidRPr="007D109C">
              <w:rPr>
                <w:color w:val="000000"/>
                <w:sz w:val="22"/>
                <w:szCs w:val="22"/>
              </w:rPr>
              <w:t>anläggningstillgångar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195 012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110 256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151 500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121 752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578 520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09C" w:rsidRPr="007D109C" w:rsidRDefault="0033336C" w:rsidP="007D10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109C">
              <w:rPr>
                <w:b/>
                <w:bCs/>
                <w:color w:val="000000"/>
                <w:sz w:val="22"/>
                <w:szCs w:val="22"/>
              </w:rPr>
              <w:t xml:space="preserve">Sum </w:t>
            </w:r>
            <w:proofErr w:type="spellStart"/>
            <w:r w:rsidRPr="007D109C">
              <w:rPr>
                <w:b/>
                <w:bCs/>
                <w:color w:val="000000"/>
                <w:sz w:val="22"/>
                <w:szCs w:val="22"/>
              </w:rPr>
              <w:t>rörelsekostnader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790 875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456 974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467 365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400 254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2 115 468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09C" w:rsidRPr="007D109C" w:rsidRDefault="007D109C" w:rsidP="007D1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109C" w:rsidRPr="007D109C" w:rsidRDefault="0033336C" w:rsidP="007D109C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109C">
              <w:rPr>
                <w:b/>
                <w:bCs/>
                <w:color w:val="000000"/>
                <w:sz w:val="22"/>
                <w:szCs w:val="22"/>
              </w:rPr>
              <w:t>Rörelseresultat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-2 434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38 389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-1 344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-21 043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13 568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9C" w:rsidRPr="007D109C" w:rsidRDefault="007D109C" w:rsidP="007D1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09C" w:rsidRPr="007D109C" w:rsidRDefault="007D109C" w:rsidP="007D109C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109C">
              <w:rPr>
                <w:b/>
                <w:bCs/>
                <w:color w:val="000000"/>
                <w:sz w:val="22"/>
                <w:szCs w:val="22"/>
              </w:rPr>
              <w:t>Finansiella</w:t>
            </w:r>
            <w:proofErr w:type="spellEnd"/>
            <w:r w:rsidRPr="007D109C">
              <w:rPr>
                <w:b/>
                <w:bCs/>
                <w:color w:val="000000"/>
                <w:sz w:val="22"/>
                <w:szCs w:val="22"/>
              </w:rPr>
              <w:t xml:space="preserve"> poster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  <w:lang w:val="sv-SE"/>
              </w:rPr>
            </w:pPr>
            <w:r w:rsidRPr="007D109C">
              <w:rPr>
                <w:color w:val="000000"/>
                <w:sz w:val="22"/>
                <w:szCs w:val="22"/>
                <w:lang w:val="sv-SE"/>
              </w:rPr>
              <w:t xml:space="preserve">Övriga ränteintäkter och liknande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-1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-1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-2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09C" w:rsidRPr="007D109C" w:rsidRDefault="007D109C" w:rsidP="007D10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7D109C">
              <w:rPr>
                <w:color w:val="000000"/>
                <w:sz w:val="22"/>
                <w:szCs w:val="22"/>
              </w:rPr>
              <w:lastRenderedPageBreak/>
              <w:t>Räntekostnader</w:t>
            </w:r>
            <w:proofErr w:type="spellEnd"/>
            <w:r w:rsidRPr="007D109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109C">
              <w:rPr>
                <w:color w:val="000000"/>
                <w:sz w:val="22"/>
                <w:szCs w:val="22"/>
              </w:rPr>
              <w:t>och</w:t>
            </w:r>
            <w:proofErr w:type="spellEnd"/>
            <w:r w:rsidRPr="007D109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109C">
              <w:rPr>
                <w:color w:val="000000"/>
                <w:sz w:val="22"/>
                <w:szCs w:val="22"/>
              </w:rPr>
              <w:t>liknande</w:t>
            </w:r>
            <w:proofErr w:type="spellEnd"/>
            <w:r w:rsidRPr="007D109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54 749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33 861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31 260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26 023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145 893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09C" w:rsidRPr="007D109C" w:rsidRDefault="0033336C" w:rsidP="007D10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109C">
              <w:rPr>
                <w:b/>
                <w:bCs/>
                <w:color w:val="000000"/>
                <w:sz w:val="22"/>
                <w:szCs w:val="22"/>
              </w:rPr>
              <w:t xml:space="preserve">Summa </w:t>
            </w:r>
            <w:proofErr w:type="spellStart"/>
            <w:r w:rsidRPr="007D109C">
              <w:rPr>
                <w:b/>
                <w:bCs/>
                <w:color w:val="000000"/>
                <w:sz w:val="22"/>
                <w:szCs w:val="22"/>
              </w:rPr>
              <w:t>finansiella</w:t>
            </w:r>
            <w:proofErr w:type="spellEnd"/>
            <w:r w:rsidRPr="007D109C">
              <w:rPr>
                <w:b/>
                <w:bCs/>
                <w:color w:val="000000"/>
                <w:sz w:val="22"/>
                <w:szCs w:val="22"/>
              </w:rPr>
              <w:t xml:space="preserve"> poster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54 749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33 862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31 260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26 024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145 895</w:t>
            </w: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09C" w:rsidRPr="007D109C" w:rsidRDefault="007D109C" w:rsidP="007D1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</w:p>
        </w:tc>
      </w:tr>
      <w:tr w:rsidR="007D109C" w:rsidRPr="007D109C" w:rsidTr="007D109C">
        <w:trPr>
          <w:trHeight w:val="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109C" w:rsidRPr="007D109C" w:rsidRDefault="0033336C" w:rsidP="007D10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109C">
              <w:rPr>
                <w:b/>
                <w:bCs/>
                <w:color w:val="000000"/>
                <w:sz w:val="22"/>
                <w:szCs w:val="22"/>
              </w:rPr>
              <w:t>Resultat efter fin.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-57 183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4 527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-32 604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-47 067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109C" w:rsidRPr="007D109C" w:rsidRDefault="007D109C" w:rsidP="007D109C">
            <w:pPr>
              <w:jc w:val="right"/>
              <w:rPr>
                <w:sz w:val="22"/>
                <w:szCs w:val="22"/>
              </w:rPr>
            </w:pPr>
            <w:r w:rsidRPr="007D109C">
              <w:rPr>
                <w:sz w:val="22"/>
                <w:szCs w:val="22"/>
              </w:rPr>
              <w:t>-132 327</w:t>
            </w:r>
          </w:p>
        </w:tc>
      </w:tr>
      <w:bookmarkEnd w:id="1"/>
    </w:tbl>
    <w:p w:rsidR="00C35891" w:rsidRDefault="00C35891" w:rsidP="00E154D2"/>
    <w:p w:rsidR="001C1520" w:rsidRDefault="007D109C" w:rsidP="00E154D2">
      <w:r>
        <w:t>Regnet per hus er kostnadene som følger (alle tall i SEK)</w:t>
      </w:r>
    </w:p>
    <w:p w:rsidR="001C1520" w:rsidRDefault="001C1520" w:rsidP="00E154D2"/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1276"/>
        <w:gridCol w:w="1134"/>
        <w:gridCol w:w="1275"/>
        <w:gridCol w:w="993"/>
      </w:tblGrid>
      <w:tr w:rsidR="001C1520" w:rsidRPr="00357A4B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1520" w:rsidRPr="00357A4B" w:rsidRDefault="001C1520" w:rsidP="007D1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520" w:rsidRPr="00357A4B" w:rsidRDefault="001C1520" w:rsidP="001C1520">
            <w:pPr>
              <w:jc w:val="right"/>
              <w:rPr>
                <w:b/>
                <w:sz w:val="22"/>
                <w:szCs w:val="22"/>
              </w:rPr>
            </w:pPr>
            <w:r w:rsidRPr="00357A4B">
              <w:rPr>
                <w:b/>
                <w:sz w:val="22"/>
                <w:szCs w:val="22"/>
              </w:rPr>
              <w:t>Brf 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520" w:rsidRPr="00357A4B" w:rsidRDefault="001C1520" w:rsidP="001C1520">
            <w:pPr>
              <w:jc w:val="right"/>
              <w:rPr>
                <w:b/>
                <w:sz w:val="22"/>
                <w:szCs w:val="22"/>
              </w:rPr>
            </w:pPr>
            <w:r w:rsidRPr="00357A4B">
              <w:rPr>
                <w:b/>
                <w:sz w:val="22"/>
                <w:szCs w:val="22"/>
              </w:rPr>
              <w:t>Brf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520" w:rsidRPr="00357A4B" w:rsidRDefault="001C1520" w:rsidP="001C1520">
            <w:pPr>
              <w:jc w:val="right"/>
              <w:rPr>
                <w:b/>
                <w:sz w:val="22"/>
                <w:szCs w:val="22"/>
              </w:rPr>
            </w:pPr>
            <w:r w:rsidRPr="00357A4B">
              <w:rPr>
                <w:b/>
                <w:sz w:val="22"/>
                <w:szCs w:val="22"/>
              </w:rPr>
              <w:t>Brf 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520" w:rsidRPr="00357A4B" w:rsidRDefault="001C1520" w:rsidP="001C1520">
            <w:pPr>
              <w:jc w:val="right"/>
              <w:rPr>
                <w:b/>
                <w:sz w:val="22"/>
                <w:szCs w:val="22"/>
              </w:rPr>
            </w:pPr>
            <w:r w:rsidRPr="00357A4B">
              <w:rPr>
                <w:b/>
                <w:sz w:val="22"/>
                <w:szCs w:val="22"/>
              </w:rPr>
              <w:t>Brf 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1520" w:rsidRPr="00357A4B" w:rsidRDefault="001C1520" w:rsidP="001C1520">
            <w:pPr>
              <w:jc w:val="right"/>
              <w:rPr>
                <w:b/>
                <w:sz w:val="22"/>
                <w:szCs w:val="22"/>
              </w:rPr>
            </w:pPr>
            <w:r w:rsidRPr="00357A4B">
              <w:rPr>
                <w:b/>
                <w:sz w:val="22"/>
                <w:szCs w:val="22"/>
              </w:rPr>
              <w:t>Sum</w:t>
            </w:r>
          </w:p>
        </w:tc>
      </w:tr>
      <w:tr w:rsidR="00E206E7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06E7" w:rsidRPr="004519D3" w:rsidRDefault="00E206E7" w:rsidP="001C15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57A4B">
              <w:rPr>
                <w:b/>
                <w:bCs/>
                <w:color w:val="000000"/>
                <w:sz w:val="22"/>
                <w:szCs w:val="22"/>
              </w:rPr>
              <w:t>R</w:t>
            </w:r>
            <w:r w:rsidRPr="004519D3">
              <w:rPr>
                <w:b/>
                <w:bCs/>
                <w:color w:val="000000"/>
                <w:sz w:val="22"/>
                <w:szCs w:val="22"/>
              </w:rPr>
              <w:t>örelsekostnader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6E7" w:rsidRPr="00F529EB" w:rsidRDefault="00E206E7" w:rsidP="001C152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6E7" w:rsidRPr="00F529EB" w:rsidRDefault="00E206E7" w:rsidP="001C152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6E7" w:rsidRPr="00F529EB" w:rsidRDefault="00E206E7" w:rsidP="001C1520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6E7" w:rsidRPr="00F529EB" w:rsidRDefault="00E206E7" w:rsidP="001C1520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06E7" w:rsidRPr="00F529EB" w:rsidRDefault="00E206E7" w:rsidP="001C1520">
            <w:pPr>
              <w:jc w:val="right"/>
            </w:pP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r w:rsidRPr="004519D3">
              <w:rPr>
                <w:color w:val="000000"/>
                <w:sz w:val="22"/>
                <w:szCs w:val="22"/>
              </w:rPr>
              <w:t xml:space="preserve">Vatten </w:t>
            </w:r>
            <w:proofErr w:type="spellStart"/>
            <w:r w:rsidRPr="004519D3">
              <w:rPr>
                <w:color w:val="000000"/>
                <w:sz w:val="22"/>
                <w:szCs w:val="22"/>
              </w:rPr>
              <w:t>och</w:t>
            </w:r>
            <w:proofErr w:type="spellEnd"/>
            <w:r w:rsidRPr="00451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19D3">
              <w:rPr>
                <w:color w:val="000000"/>
                <w:sz w:val="22"/>
                <w:szCs w:val="22"/>
              </w:rPr>
              <w:t>avlopp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3 953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4 113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4 051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5 325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4 256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r w:rsidRPr="004519D3">
              <w:rPr>
                <w:color w:val="000000"/>
                <w:sz w:val="22"/>
                <w:szCs w:val="22"/>
              </w:rPr>
              <w:t>Kabel TV service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1 704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1 704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1 704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1 704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1 704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19D3">
              <w:rPr>
                <w:color w:val="000000"/>
                <w:sz w:val="22"/>
                <w:szCs w:val="22"/>
              </w:rPr>
              <w:t>Sophämtning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1 241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1 359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1 525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1 330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19D3">
              <w:rPr>
                <w:color w:val="000000"/>
                <w:sz w:val="22"/>
                <w:szCs w:val="22"/>
              </w:rPr>
              <w:t>Snöröjning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0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bookmarkStart w:id="2" w:name="_Hlk517797799"/>
            <w:r w:rsidRPr="004519D3">
              <w:rPr>
                <w:color w:val="000000"/>
                <w:sz w:val="22"/>
                <w:szCs w:val="22"/>
              </w:rPr>
              <w:t>Vägsamfällighet</w:t>
            </w:r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361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19D3">
              <w:rPr>
                <w:color w:val="000000"/>
                <w:sz w:val="22"/>
                <w:szCs w:val="22"/>
              </w:rPr>
              <w:t>Försäkringsprem</w:t>
            </w:r>
            <w:proofErr w:type="spellEnd"/>
            <w:r w:rsidRPr="00451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19D3">
              <w:rPr>
                <w:color w:val="000000"/>
                <w:sz w:val="22"/>
                <w:szCs w:val="22"/>
              </w:rPr>
              <w:t>fastighet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1 423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1 276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1 382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1 357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1 368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19D3">
              <w:rPr>
                <w:color w:val="000000"/>
                <w:sz w:val="22"/>
                <w:szCs w:val="22"/>
              </w:rPr>
              <w:t>Fastighetsskötsel</w:t>
            </w:r>
            <w:proofErr w:type="spellEnd"/>
            <w:r w:rsidRPr="00451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19D3">
              <w:rPr>
                <w:color w:val="000000"/>
                <w:sz w:val="22"/>
                <w:szCs w:val="22"/>
              </w:rPr>
              <w:t>och</w:t>
            </w:r>
            <w:proofErr w:type="spellEnd"/>
            <w:r w:rsidRPr="00451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19D3">
              <w:rPr>
                <w:color w:val="000000"/>
                <w:sz w:val="22"/>
                <w:szCs w:val="22"/>
              </w:rPr>
              <w:t>förvaltning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2 502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2 461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2 526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1 627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19D3">
              <w:rPr>
                <w:color w:val="000000"/>
                <w:sz w:val="22"/>
                <w:szCs w:val="22"/>
              </w:rPr>
              <w:t>Revisionsarvode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1 631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1 250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1 750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1 571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19D3">
              <w:rPr>
                <w:color w:val="000000"/>
                <w:sz w:val="22"/>
                <w:szCs w:val="22"/>
              </w:rPr>
              <w:t>Arvode</w:t>
            </w:r>
            <w:proofErr w:type="spellEnd"/>
            <w:r w:rsidRPr="00451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19D3">
              <w:rPr>
                <w:color w:val="000000"/>
                <w:sz w:val="22"/>
                <w:szCs w:val="22"/>
              </w:rPr>
              <w:t>för</w:t>
            </w:r>
            <w:proofErr w:type="spellEnd"/>
            <w:r w:rsidRPr="00451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19D3">
              <w:rPr>
                <w:color w:val="000000"/>
                <w:sz w:val="22"/>
                <w:szCs w:val="22"/>
              </w:rPr>
              <w:t>ekonomisk</w:t>
            </w:r>
            <w:proofErr w:type="spellEnd"/>
            <w:r w:rsidRPr="00451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19D3">
              <w:rPr>
                <w:color w:val="000000"/>
                <w:sz w:val="22"/>
                <w:szCs w:val="22"/>
              </w:rPr>
              <w:t>förvaltning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4 579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4 466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4 409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3 847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4 386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r w:rsidRPr="004519D3">
              <w:rPr>
                <w:color w:val="000000"/>
                <w:sz w:val="22"/>
                <w:szCs w:val="22"/>
              </w:rPr>
              <w:t>Bankkostnader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101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r w:rsidRPr="004519D3">
              <w:rPr>
                <w:color w:val="000000"/>
                <w:sz w:val="22"/>
                <w:szCs w:val="22"/>
              </w:rPr>
              <w:t>Advokatkostnader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533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533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533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533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19D3">
              <w:rPr>
                <w:color w:val="000000"/>
                <w:sz w:val="22"/>
                <w:szCs w:val="22"/>
              </w:rPr>
              <w:t>Övriga</w:t>
            </w:r>
            <w:proofErr w:type="spellEnd"/>
            <w:r w:rsidRPr="004519D3">
              <w:rPr>
                <w:color w:val="000000"/>
                <w:sz w:val="22"/>
                <w:szCs w:val="22"/>
              </w:rPr>
              <w:t xml:space="preserve"> kostnader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220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152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19D3">
              <w:rPr>
                <w:color w:val="000000"/>
                <w:sz w:val="22"/>
                <w:szCs w:val="22"/>
              </w:rPr>
              <w:t>Fastighetsskatt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3 843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3 843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3 843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3 843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3 843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r w:rsidRPr="004519D3">
              <w:rPr>
                <w:color w:val="000000"/>
                <w:sz w:val="22"/>
                <w:szCs w:val="22"/>
              </w:rPr>
              <w:t>Kostnader Lantmäteriet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-377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-377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-377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-377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-377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19D3">
              <w:rPr>
                <w:color w:val="000000"/>
                <w:sz w:val="22"/>
                <w:szCs w:val="22"/>
              </w:rPr>
              <w:t>Reparation</w:t>
            </w:r>
            <w:proofErr w:type="spellEnd"/>
            <w:r w:rsidRPr="00451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19D3">
              <w:rPr>
                <w:color w:val="000000"/>
                <w:sz w:val="22"/>
                <w:szCs w:val="22"/>
              </w:rPr>
              <w:t>och</w:t>
            </w:r>
            <w:proofErr w:type="spellEnd"/>
            <w:r w:rsidRPr="00451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19D3">
              <w:rPr>
                <w:color w:val="000000"/>
                <w:sz w:val="22"/>
                <w:szCs w:val="22"/>
              </w:rPr>
              <w:t>underhåll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1 828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209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209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816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19D3">
              <w:rPr>
                <w:color w:val="000000"/>
                <w:sz w:val="22"/>
                <w:szCs w:val="22"/>
              </w:rPr>
              <w:t>Sotning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339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r w:rsidRPr="004519D3">
              <w:rPr>
                <w:color w:val="000000"/>
                <w:sz w:val="22"/>
                <w:szCs w:val="22"/>
              </w:rPr>
              <w:t xml:space="preserve">Årsavgift </w:t>
            </w:r>
            <w:proofErr w:type="spellStart"/>
            <w:r w:rsidRPr="004519D3">
              <w:rPr>
                <w:color w:val="000000"/>
                <w:sz w:val="22"/>
                <w:szCs w:val="22"/>
              </w:rPr>
              <w:t>gemensamhetsanläggningar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4 545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4 545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4 545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4 545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4 545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r w:rsidRPr="004519D3">
              <w:rPr>
                <w:color w:val="000000"/>
                <w:sz w:val="22"/>
                <w:szCs w:val="22"/>
              </w:rPr>
              <w:t>Personalkostnader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2 375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891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19D3">
              <w:rPr>
                <w:color w:val="000000"/>
                <w:sz w:val="22"/>
                <w:szCs w:val="22"/>
              </w:rPr>
              <w:t>Avskrivningar</w:t>
            </w:r>
            <w:proofErr w:type="spellEnd"/>
            <w:r w:rsidRPr="004519D3">
              <w:rPr>
                <w:color w:val="000000"/>
                <w:sz w:val="22"/>
                <w:szCs w:val="22"/>
              </w:rPr>
              <w:t xml:space="preserve"> av </w:t>
            </w:r>
            <w:proofErr w:type="spellStart"/>
            <w:r w:rsidRPr="004519D3">
              <w:rPr>
                <w:color w:val="000000"/>
                <w:sz w:val="22"/>
                <w:szCs w:val="22"/>
              </w:rPr>
              <w:t>anläggningstillgångar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9 286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8 481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12 625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12 175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10 331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520" w:rsidRPr="004519D3" w:rsidRDefault="0033336C" w:rsidP="001C15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19D3">
              <w:rPr>
                <w:b/>
                <w:bCs/>
                <w:color w:val="000000"/>
                <w:sz w:val="22"/>
                <w:szCs w:val="22"/>
              </w:rPr>
              <w:t xml:space="preserve">Sum </w:t>
            </w:r>
            <w:proofErr w:type="spellStart"/>
            <w:r w:rsidRPr="004519D3">
              <w:rPr>
                <w:b/>
                <w:bCs/>
                <w:color w:val="000000"/>
                <w:sz w:val="22"/>
                <w:szCs w:val="22"/>
              </w:rPr>
              <w:t>rörelsekostnader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37 661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35 152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38 947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40 025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37 776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520" w:rsidRPr="004519D3" w:rsidRDefault="001C1520" w:rsidP="001C152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520" w:rsidRPr="004519D3" w:rsidRDefault="0033336C" w:rsidP="001C152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519D3">
              <w:rPr>
                <w:b/>
                <w:bCs/>
                <w:color w:val="000000"/>
                <w:sz w:val="22"/>
                <w:szCs w:val="22"/>
              </w:rPr>
              <w:t>Rörelseresultat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-2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-1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-21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14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20" w:rsidRPr="004519D3" w:rsidRDefault="001C1520" w:rsidP="001C152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520" w:rsidRPr="004519D3" w:rsidRDefault="001C1520" w:rsidP="001C152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519D3">
              <w:rPr>
                <w:b/>
                <w:bCs/>
                <w:color w:val="000000"/>
                <w:sz w:val="22"/>
                <w:szCs w:val="22"/>
              </w:rPr>
              <w:t>Finansiella</w:t>
            </w:r>
            <w:proofErr w:type="spellEnd"/>
            <w:r w:rsidRPr="004519D3">
              <w:rPr>
                <w:b/>
                <w:bCs/>
                <w:color w:val="000000"/>
                <w:sz w:val="22"/>
                <w:szCs w:val="22"/>
              </w:rPr>
              <w:t xml:space="preserve"> poster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  <w:lang w:val="sv-SE"/>
              </w:rPr>
            </w:pPr>
            <w:r w:rsidRPr="004519D3">
              <w:rPr>
                <w:color w:val="000000"/>
                <w:sz w:val="22"/>
                <w:szCs w:val="22"/>
                <w:lang w:val="sv-SE"/>
              </w:rPr>
              <w:t xml:space="preserve">Övriga ränteintäkter och liknande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0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520" w:rsidRPr="004519D3" w:rsidRDefault="001C1520" w:rsidP="001C152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519D3">
              <w:rPr>
                <w:color w:val="000000"/>
                <w:sz w:val="22"/>
                <w:szCs w:val="22"/>
              </w:rPr>
              <w:t>Räntekostnader</w:t>
            </w:r>
            <w:proofErr w:type="spellEnd"/>
            <w:r w:rsidRPr="00451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19D3">
              <w:rPr>
                <w:color w:val="000000"/>
                <w:sz w:val="22"/>
                <w:szCs w:val="22"/>
              </w:rPr>
              <w:t>och</w:t>
            </w:r>
            <w:proofErr w:type="spellEnd"/>
            <w:r w:rsidRPr="004519D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19D3">
              <w:rPr>
                <w:color w:val="000000"/>
                <w:sz w:val="22"/>
                <w:szCs w:val="22"/>
              </w:rPr>
              <w:t>liknande</w:t>
            </w:r>
            <w:proofErr w:type="spellEnd"/>
            <w:r w:rsidRPr="004519D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2 607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2 605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2 605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2 602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2 605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520" w:rsidRPr="004519D3" w:rsidRDefault="0033336C" w:rsidP="001C15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19D3">
              <w:rPr>
                <w:b/>
                <w:bCs/>
                <w:color w:val="000000"/>
                <w:sz w:val="22"/>
                <w:szCs w:val="22"/>
              </w:rPr>
              <w:t xml:space="preserve">Summa </w:t>
            </w:r>
            <w:proofErr w:type="spellStart"/>
            <w:r w:rsidRPr="004519D3">
              <w:rPr>
                <w:b/>
                <w:bCs/>
                <w:color w:val="000000"/>
                <w:sz w:val="22"/>
                <w:szCs w:val="22"/>
              </w:rPr>
              <w:t>finansiella</w:t>
            </w:r>
            <w:proofErr w:type="spellEnd"/>
            <w:r w:rsidRPr="004519D3">
              <w:rPr>
                <w:b/>
                <w:bCs/>
                <w:color w:val="000000"/>
                <w:sz w:val="22"/>
                <w:szCs w:val="22"/>
              </w:rPr>
              <w:t xml:space="preserve"> poster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2 607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2 605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2 605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2 602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2 605</w:t>
            </w: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20" w:rsidRPr="004519D3" w:rsidRDefault="001C1520" w:rsidP="001C152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520" w:rsidRPr="00F529EB" w:rsidRDefault="001C1520" w:rsidP="001C1520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</w:p>
        </w:tc>
      </w:tr>
      <w:tr w:rsidR="001C1520" w:rsidRPr="004519D3" w:rsidTr="007D109C">
        <w:trPr>
          <w:trHeight w:val="2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520" w:rsidRPr="004519D3" w:rsidRDefault="0033336C" w:rsidP="001C152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519D3">
              <w:rPr>
                <w:b/>
                <w:bCs/>
                <w:color w:val="000000"/>
                <w:sz w:val="22"/>
                <w:szCs w:val="22"/>
              </w:rPr>
              <w:t>Resultat efter fin</w:t>
            </w:r>
            <w:r w:rsidR="001C1520" w:rsidRPr="00357A4B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-2 723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-2 717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Pr="00F529EB" w:rsidRDefault="001C1520" w:rsidP="001C1520">
            <w:pPr>
              <w:jc w:val="right"/>
            </w:pPr>
            <w:r w:rsidRPr="00F529EB">
              <w:t>-4 707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1520" w:rsidRDefault="001C1520" w:rsidP="001C1520">
            <w:pPr>
              <w:jc w:val="right"/>
            </w:pPr>
            <w:r w:rsidRPr="00F529EB">
              <w:t>-2 363</w:t>
            </w:r>
          </w:p>
        </w:tc>
      </w:tr>
    </w:tbl>
    <w:p w:rsidR="001C1520" w:rsidRDefault="001C1520" w:rsidP="00E154D2"/>
    <w:p w:rsidR="001C1520" w:rsidRDefault="007D109C" w:rsidP="00E154D2">
      <w:r>
        <w:t>I og med at kostnadene i Brf-ene er påvirket av antall hus</w:t>
      </w:r>
      <w:r w:rsidR="00A855DB">
        <w:t>,</w:t>
      </w:r>
      <w:r>
        <w:t xml:space="preserve"> </w:t>
      </w:r>
      <w:r w:rsidR="00A855DB">
        <w:t>vurderes</w:t>
      </w:r>
      <w:r w:rsidR="00E6585B">
        <w:t xml:space="preserve"> mulige kostnadsreduksjoner med utgangspunkt i kostnader per hus per Brf. </w:t>
      </w:r>
    </w:p>
    <w:p w:rsidR="00E6585B" w:rsidRDefault="00E6585B" w:rsidP="00E154D2"/>
    <w:p w:rsidR="00E6585B" w:rsidRPr="00E6585B" w:rsidRDefault="00E6585B" w:rsidP="00E154D2">
      <w:r w:rsidRPr="00E6585B">
        <w:t>Kabel-TV utgår som en følge av at</w:t>
      </w:r>
      <w:r>
        <w:t xml:space="preserve"> avtalen er sagt opp.</w:t>
      </w:r>
    </w:p>
    <w:p w:rsidR="00E6585B" w:rsidRPr="00E6585B" w:rsidRDefault="00E6585B" w:rsidP="00E154D2"/>
    <w:p w:rsidR="00E6585B" w:rsidRPr="0033336C" w:rsidRDefault="00E6585B" w:rsidP="00E15522">
      <w:pPr>
        <w:pStyle w:val="Overskrift2"/>
      </w:pPr>
      <w:r w:rsidRPr="0033336C">
        <w:t>Offentlige avgifter</w:t>
      </w:r>
    </w:p>
    <w:p w:rsidR="00E6585B" w:rsidRDefault="00A855DB" w:rsidP="00E154D2">
      <w:r>
        <w:t>Avgiftene</w:t>
      </w:r>
      <w:r w:rsidR="00E6585B">
        <w:t xml:space="preserve"> til Strømstad for vann, avløp og renovasjon utgjør ca. 5 500 per hus. </w:t>
      </w:r>
      <w:r w:rsidR="008454AB">
        <w:t>V</w:t>
      </w:r>
      <w:r w:rsidR="00E6585B">
        <w:t xml:space="preserve">ann og avløp avregnes etter måler og det er antakelig bare en fast abonnementsavgift som </w:t>
      </w:r>
      <w:r w:rsidR="008454AB">
        <w:t xml:space="preserve">eventuelt </w:t>
      </w:r>
      <w:r w:rsidR="00E6585B">
        <w:t>kan gi en liten kostnadsreduksjon.</w:t>
      </w:r>
    </w:p>
    <w:p w:rsidR="00E6585B" w:rsidRDefault="00E6585B" w:rsidP="00E154D2"/>
    <w:p w:rsidR="00E6585B" w:rsidRDefault="00E6585B" w:rsidP="00E154D2">
      <w:r>
        <w:t xml:space="preserve">Renovasjon skulle en i utgangspunktet anta var relativt likt per hus, men den varierer fra </w:t>
      </w:r>
      <w:r>
        <w:br/>
        <w:t xml:space="preserve">SEK 1 241 per år i </w:t>
      </w:r>
      <w:r w:rsidR="00A855DB">
        <w:t xml:space="preserve">Brf </w:t>
      </w:r>
      <w:r>
        <w:t xml:space="preserve">1 til SEK 1 525 i Brf 4. De burde være mulig å redusere kostnadene til renovasjon noe. </w:t>
      </w:r>
    </w:p>
    <w:p w:rsidR="001C1520" w:rsidRDefault="001C1520" w:rsidP="00E154D2"/>
    <w:p w:rsidR="00E6585B" w:rsidRDefault="00E6585B" w:rsidP="00E15522">
      <w:pPr>
        <w:pStyle w:val="Overskrift2"/>
      </w:pPr>
      <w:bookmarkStart w:id="3" w:name="_Hlk517798617"/>
      <w:r w:rsidRPr="00E6585B">
        <w:lastRenderedPageBreak/>
        <w:t xml:space="preserve">Kostnader til </w:t>
      </w:r>
      <w:proofErr w:type="spellStart"/>
      <w:r w:rsidRPr="00E6585B">
        <w:t>vägsamfällighet</w:t>
      </w:r>
      <w:proofErr w:type="spellEnd"/>
      <w:r w:rsidRPr="00E6585B">
        <w:t xml:space="preserve"> og ESF</w:t>
      </w:r>
    </w:p>
    <w:bookmarkEnd w:id="3"/>
    <w:p w:rsidR="001C1520" w:rsidRDefault="003639AE" w:rsidP="00E154D2">
      <w:r>
        <w:t xml:space="preserve">Kostnadene til </w:t>
      </w:r>
      <w:proofErr w:type="spellStart"/>
      <w:r w:rsidRPr="003639AE">
        <w:t>vägsamfällighet</w:t>
      </w:r>
      <w:proofErr w:type="spellEnd"/>
      <w:r w:rsidRPr="003639AE">
        <w:t xml:space="preserve"> og </w:t>
      </w:r>
      <w:r>
        <w:t xml:space="preserve">ESF </w:t>
      </w:r>
      <w:r w:rsidR="009445F0">
        <w:t>må en forutsette er</w:t>
      </w:r>
      <w:r>
        <w:t xml:space="preserve"> upåvirket av om det er ett eller fire Brf. </w:t>
      </w:r>
    </w:p>
    <w:p w:rsidR="00F8361E" w:rsidRDefault="00F8361E" w:rsidP="00E154D2"/>
    <w:p w:rsidR="00F8361E" w:rsidRDefault="00F8361E" w:rsidP="00E15522">
      <w:pPr>
        <w:pStyle w:val="Overskrift2"/>
      </w:pPr>
      <w:r>
        <w:t>Forsikringskostnader</w:t>
      </w:r>
    </w:p>
    <w:p w:rsidR="00F00175" w:rsidRDefault="00F8361E" w:rsidP="00E154D2">
      <w:r>
        <w:t xml:space="preserve">Forsikringskostnadene varierer noe og det må være mulig å redusere </w:t>
      </w:r>
      <w:r w:rsidR="00415888">
        <w:t>disse</w:t>
      </w:r>
      <w:r>
        <w:t xml:space="preserve"> noe ved</w:t>
      </w:r>
      <w:r w:rsidR="00415888">
        <w:t xml:space="preserve"> en sammenslåing. Men besparelsen er antakelig ikke stor forutsatt samme dekning.</w:t>
      </w:r>
      <w:r>
        <w:t xml:space="preserve"> </w:t>
      </w:r>
    </w:p>
    <w:p w:rsidR="00F8361E" w:rsidRDefault="00F8361E" w:rsidP="00E154D2"/>
    <w:p w:rsidR="00F8361E" w:rsidRDefault="00F8361E" w:rsidP="00E15522">
      <w:pPr>
        <w:pStyle w:val="Overskrift2"/>
      </w:pPr>
      <w:r>
        <w:t>Revisjon og forvaltning</w:t>
      </w:r>
    </w:p>
    <w:p w:rsidR="00F8361E" w:rsidRDefault="00415888" w:rsidP="00E154D2">
      <w:r>
        <w:t>Revisjon og forvaltning beløper seg til nærmere SEK 6 000 per hus. Vår forretningsfører i Ernst &amp; Young mener det er mulig å redusere disse kostnadene en god del ved en sammenslåing.</w:t>
      </w:r>
    </w:p>
    <w:p w:rsidR="00A855DB" w:rsidRDefault="00A855DB" w:rsidP="00E154D2"/>
    <w:p w:rsidR="00A855DB" w:rsidRDefault="00A855DB" w:rsidP="00E154D2">
      <w:r>
        <w:t xml:space="preserve">Med unntak av antall fakturaer for husleie skulle en tro at antall fakturaer til honorering var relativt likt fordelt. Om det er tilfelle er det vanskelig å forstå at forvaltningskostnadene per hus er tilnærmet lik i alle Brf-ene.  </w:t>
      </w:r>
    </w:p>
    <w:p w:rsidR="00F8361E" w:rsidRDefault="00F8361E" w:rsidP="00E154D2"/>
    <w:p w:rsidR="00F8361E" w:rsidRDefault="00F8361E" w:rsidP="00E15522">
      <w:pPr>
        <w:pStyle w:val="Overskrift2"/>
      </w:pPr>
      <w:r>
        <w:t>Eiendomsskatt</w:t>
      </w:r>
    </w:p>
    <w:p w:rsidR="00F8361E" w:rsidRDefault="00966C5F" w:rsidP="00E154D2">
      <w:r>
        <w:t>Eiendomsskatten kommer til å øke, og en sammenslutning vil ikke påvirke skattens størrelse.</w:t>
      </w:r>
    </w:p>
    <w:p w:rsidR="00F8361E" w:rsidRDefault="00F8361E" w:rsidP="00E154D2"/>
    <w:p w:rsidR="00F8361E" w:rsidRDefault="00F8361E" w:rsidP="00E15522">
      <w:pPr>
        <w:pStyle w:val="Overskrift2"/>
      </w:pPr>
      <w:r>
        <w:t>Personalkostnader</w:t>
      </w:r>
    </w:p>
    <w:p w:rsidR="00F8361E" w:rsidRDefault="00BE7F67" w:rsidP="00E154D2">
      <w:r>
        <w:t xml:space="preserve">Vaktmesteren er ansatt i Brf </w:t>
      </w:r>
      <w:r w:rsidR="006B5824">
        <w:t>1</w:t>
      </w:r>
      <w:r>
        <w:t xml:space="preserve"> selv om det er ESF som eier eller har ansvaret for det meste av det området og de installasjoner som inngår i vaktmesterens arbeidsoppgaver. </w:t>
      </w:r>
      <w:r w:rsidR="006B5824">
        <w:t>ESF refunderer derfor 85 % av Brf-enes lønnskostnadene til vaktmesteren og en andel av verktøy og materiell. På den annen side er det Brf-ene som betaler den største delen av kostnadene i ESF</w:t>
      </w:r>
      <w:r w:rsidR="008454AB">
        <w:t xml:space="preserve">. </w:t>
      </w:r>
      <w:r w:rsidR="006B5824">
        <w:t xml:space="preserve">Det er ikke noe å spare på personalkostnadene. </w:t>
      </w:r>
    </w:p>
    <w:p w:rsidR="00F8361E" w:rsidRDefault="00F8361E" w:rsidP="00E154D2"/>
    <w:p w:rsidR="00F8361E" w:rsidRDefault="00F8361E" w:rsidP="00E15522">
      <w:pPr>
        <w:pStyle w:val="Overskrift2"/>
      </w:pPr>
      <w:bookmarkStart w:id="4" w:name="_Hlk520013983"/>
      <w:r>
        <w:t>Avskrivninger</w:t>
      </w:r>
    </w:p>
    <w:bookmarkEnd w:id="4"/>
    <w:p w:rsidR="00F8361E" w:rsidRDefault="006B5824" w:rsidP="00E154D2">
      <w:r>
        <w:t xml:space="preserve">Avskrivningene varierer fra 8 500 i Brf 2 til 12 500 i Brf 3. Om en forutsetter at en benytter de avskrivningssatser som svenske lover og forskrifter </w:t>
      </w:r>
      <w:r w:rsidR="00D74B43">
        <w:t>fastsetter må det være ulikheter i byggekostnader som er årsaken til forskjellene</w:t>
      </w:r>
      <w:r w:rsidR="00E206E7">
        <w:t>.</w:t>
      </w:r>
    </w:p>
    <w:p w:rsidR="000A6775" w:rsidRDefault="000A6775" w:rsidP="00E154D2"/>
    <w:p w:rsidR="000A6775" w:rsidRDefault="000A6775" w:rsidP="00E15522">
      <w:pPr>
        <w:pStyle w:val="Overskrift2"/>
      </w:pPr>
      <w:r>
        <w:t>Andre kostnader</w:t>
      </w:r>
    </w:p>
    <w:p w:rsidR="000A6775" w:rsidRDefault="000A6775" w:rsidP="00E154D2">
      <w:r>
        <w:t xml:space="preserve">Det framkommer ikke direkte av regnskapet, men hver gang en gjør en endring i styrets sammensetning </w:t>
      </w:r>
      <w:r w:rsidR="00E206E7">
        <w:t xml:space="preserve">eller endrer vedtektene </w:t>
      </w:r>
      <w:r>
        <w:t xml:space="preserve">skal dette meddeles Bolagsverket og Brf-et må betale en avgift på SEK 900. Dersom </w:t>
      </w:r>
      <w:r w:rsidR="00E206E7">
        <w:t xml:space="preserve">f.eks. </w:t>
      </w:r>
      <w:r>
        <w:t xml:space="preserve">alle Brf-ene endrer sin styresammensetning på årsmøtet blir </w:t>
      </w:r>
      <w:r w:rsidR="00792C9E">
        <w:t xml:space="preserve">den totale </w:t>
      </w:r>
      <w:r>
        <w:t xml:space="preserve">kostnaden SEK 3 600. </w:t>
      </w:r>
      <w:r w:rsidR="0046781C">
        <w:t xml:space="preserve">Brf-ene </w:t>
      </w:r>
      <w:r w:rsidR="00792C9E">
        <w:t>betaler</w:t>
      </w:r>
      <w:r w:rsidR="0046781C">
        <w:t xml:space="preserve"> til sammen 3 600 for de vedtektsendringene som ble gjort i juni – august 2018. </w:t>
      </w:r>
    </w:p>
    <w:p w:rsidR="00F8361E" w:rsidRDefault="00F8361E" w:rsidP="00E154D2"/>
    <w:p w:rsidR="001C1520" w:rsidRPr="00E154D2" w:rsidRDefault="001C1520" w:rsidP="00E154D2"/>
    <w:p w:rsidR="00FC462C" w:rsidRDefault="0033336C" w:rsidP="0033336C">
      <w:pPr>
        <w:pStyle w:val="Overskrift1"/>
      </w:pPr>
      <w:r>
        <w:t xml:space="preserve">Vurdering av verdier og gjeld i balansen til de enkelte </w:t>
      </w:r>
      <w:proofErr w:type="spellStart"/>
      <w:r>
        <w:t>brf</w:t>
      </w:r>
      <w:proofErr w:type="spellEnd"/>
    </w:p>
    <w:p w:rsidR="00966C5F" w:rsidRDefault="00966C5F" w:rsidP="00E154D2">
      <w:pPr>
        <w:tabs>
          <w:tab w:val="num" w:pos="0"/>
        </w:tabs>
      </w:pPr>
    </w:p>
    <w:p w:rsidR="00E0354B" w:rsidRDefault="00AF5F4F" w:rsidP="00E15522">
      <w:pPr>
        <w:pStyle w:val="Overskrift2"/>
      </w:pPr>
      <w:bookmarkStart w:id="5" w:name="_Ref520040124"/>
      <w:r>
        <w:t>Omløpsmidler med vekt på</w:t>
      </w:r>
      <w:r w:rsidR="00E0354B">
        <w:t xml:space="preserve"> likvider</w:t>
      </w:r>
      <w:bookmarkEnd w:id="5"/>
    </w:p>
    <w:p w:rsidR="00E0354B" w:rsidRDefault="00E0354B" w:rsidP="00E0354B">
      <w:pPr>
        <w:pStyle w:val="DefinitionList"/>
        <w:ind w:left="0"/>
      </w:pPr>
      <w:r>
        <w:t xml:space="preserve">I det alt vesentlige består omløpsmidlene av likvider. I det enkelte Brf </w:t>
      </w:r>
      <w:r w:rsidR="00E77BDF">
        <w:t>var</w:t>
      </w:r>
      <w:r>
        <w:t xml:space="preserve"> sum omløpsmidler og likviditeten som følger regnet per hus</w:t>
      </w:r>
      <w:r w:rsidR="00E77BDF">
        <w:t xml:space="preserve"> per 30.06.2017 slik (tall i 1 000 SEK)</w:t>
      </w:r>
      <w:r>
        <w:t>:</w:t>
      </w:r>
    </w:p>
    <w:p w:rsidR="00E0354B" w:rsidRDefault="00E0354B" w:rsidP="00E0354B">
      <w:pPr>
        <w:pStyle w:val="DefinitionTerm"/>
      </w:pPr>
    </w:p>
    <w:tbl>
      <w:tblPr>
        <w:tblW w:w="93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353"/>
        <w:gridCol w:w="1353"/>
        <w:gridCol w:w="1354"/>
        <w:gridCol w:w="1353"/>
        <w:gridCol w:w="1354"/>
      </w:tblGrid>
      <w:tr w:rsidR="00E0354B" w:rsidRPr="002E1E51" w:rsidTr="00E0354B">
        <w:trPr>
          <w:trHeight w:val="315"/>
          <w:tblHeader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54B" w:rsidRPr="002E1E51" w:rsidRDefault="00E0354B" w:rsidP="00E0354B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54B" w:rsidRPr="002E1E51" w:rsidRDefault="00E0354B" w:rsidP="004F5C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E1E51">
              <w:rPr>
                <w:b/>
                <w:bCs/>
                <w:color w:val="000000"/>
                <w:szCs w:val="24"/>
              </w:rPr>
              <w:t>BRF1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54B" w:rsidRPr="002E1E51" w:rsidRDefault="00E0354B" w:rsidP="004F5C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E1E51">
              <w:rPr>
                <w:b/>
                <w:bCs/>
                <w:color w:val="000000"/>
                <w:szCs w:val="24"/>
              </w:rPr>
              <w:t>BRF2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54B" w:rsidRPr="002E1E51" w:rsidRDefault="00E0354B" w:rsidP="004F5C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E1E51">
              <w:rPr>
                <w:b/>
                <w:bCs/>
                <w:color w:val="000000"/>
                <w:szCs w:val="24"/>
              </w:rPr>
              <w:t>BRF3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54B" w:rsidRPr="002E1E51" w:rsidRDefault="00E0354B" w:rsidP="004F5C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E1E51">
              <w:rPr>
                <w:b/>
                <w:bCs/>
                <w:color w:val="000000"/>
                <w:szCs w:val="24"/>
              </w:rPr>
              <w:t>BRF4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54B" w:rsidRPr="002E1E51" w:rsidRDefault="00D54C1F" w:rsidP="004F5CC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54C1F">
              <w:rPr>
                <w:b/>
                <w:bCs/>
                <w:color w:val="000000"/>
                <w:szCs w:val="24"/>
              </w:rPr>
              <w:t>GJ.SN.</w:t>
            </w:r>
          </w:p>
        </w:tc>
      </w:tr>
      <w:tr w:rsidR="00E0354B" w:rsidRPr="00E0354B" w:rsidTr="00E0354B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0354B" w:rsidRPr="00E0354B" w:rsidRDefault="00E0354B" w:rsidP="00E0354B">
            <w:pPr>
              <w:rPr>
                <w:bCs/>
                <w:color w:val="000000"/>
                <w:szCs w:val="24"/>
              </w:rPr>
            </w:pPr>
            <w:r w:rsidRPr="00E0354B">
              <w:rPr>
                <w:bCs/>
                <w:color w:val="000000"/>
                <w:szCs w:val="24"/>
              </w:rPr>
              <w:t>Sum omløpsmidler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4B" w:rsidRPr="00E0354B" w:rsidRDefault="00E0354B" w:rsidP="00E0354B">
            <w:pPr>
              <w:jc w:val="center"/>
              <w:rPr>
                <w:bCs/>
                <w:color w:val="000000"/>
                <w:szCs w:val="24"/>
              </w:rPr>
            </w:pPr>
            <w:r w:rsidRPr="00E0354B">
              <w:rPr>
                <w:bCs/>
                <w:color w:val="000000"/>
                <w:szCs w:val="24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4B" w:rsidRPr="00E0354B" w:rsidRDefault="00E0354B" w:rsidP="00E0354B">
            <w:pPr>
              <w:jc w:val="center"/>
              <w:rPr>
                <w:bCs/>
                <w:color w:val="000000"/>
                <w:szCs w:val="24"/>
              </w:rPr>
            </w:pPr>
            <w:r w:rsidRPr="00E0354B">
              <w:rPr>
                <w:bCs/>
                <w:color w:val="000000"/>
                <w:szCs w:val="24"/>
              </w:rPr>
              <w:t>47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4B" w:rsidRPr="00E0354B" w:rsidRDefault="00E0354B" w:rsidP="00E0354B">
            <w:pPr>
              <w:jc w:val="center"/>
              <w:rPr>
                <w:bCs/>
                <w:color w:val="000000"/>
                <w:szCs w:val="24"/>
              </w:rPr>
            </w:pPr>
            <w:r w:rsidRPr="00E0354B">
              <w:rPr>
                <w:bCs/>
                <w:color w:val="000000"/>
                <w:szCs w:val="24"/>
              </w:rPr>
              <w:t>45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4B" w:rsidRPr="00E0354B" w:rsidRDefault="00E0354B" w:rsidP="00E0354B">
            <w:pPr>
              <w:jc w:val="center"/>
              <w:rPr>
                <w:bCs/>
                <w:color w:val="000000"/>
                <w:szCs w:val="24"/>
              </w:rPr>
            </w:pPr>
            <w:r w:rsidRPr="00E0354B">
              <w:rPr>
                <w:bCs/>
                <w:color w:val="000000"/>
                <w:szCs w:val="24"/>
              </w:rPr>
              <w:t>42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54B" w:rsidRPr="00E0354B" w:rsidRDefault="00E0354B" w:rsidP="00E0354B">
            <w:pPr>
              <w:jc w:val="center"/>
              <w:rPr>
                <w:bCs/>
                <w:color w:val="000000"/>
                <w:szCs w:val="24"/>
              </w:rPr>
            </w:pPr>
            <w:r w:rsidRPr="00E0354B">
              <w:rPr>
                <w:bCs/>
                <w:color w:val="000000"/>
                <w:szCs w:val="24"/>
              </w:rPr>
              <w:t>50</w:t>
            </w:r>
          </w:p>
        </w:tc>
      </w:tr>
      <w:tr w:rsidR="00E0354B" w:rsidRPr="00E0354B" w:rsidTr="00E0354B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0354B" w:rsidRPr="00E0354B" w:rsidRDefault="00E0354B" w:rsidP="00E0354B">
            <w:pPr>
              <w:rPr>
                <w:bCs/>
                <w:color w:val="000000"/>
                <w:szCs w:val="24"/>
              </w:rPr>
            </w:pPr>
            <w:r w:rsidRPr="00E0354B">
              <w:rPr>
                <w:bCs/>
                <w:color w:val="000000"/>
                <w:szCs w:val="24"/>
              </w:rPr>
              <w:t xml:space="preserve">    - herav likvider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354B" w:rsidRPr="00E0354B" w:rsidRDefault="00E0354B" w:rsidP="00E0354B">
            <w:pPr>
              <w:jc w:val="center"/>
            </w:pPr>
            <w:r w:rsidRPr="00E0354B">
              <w:t>51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354B" w:rsidRPr="00E0354B" w:rsidRDefault="00E0354B" w:rsidP="00E0354B">
            <w:pPr>
              <w:jc w:val="center"/>
            </w:pPr>
            <w:r w:rsidRPr="00E0354B">
              <w:t>40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354B" w:rsidRPr="00E0354B" w:rsidRDefault="00E0354B" w:rsidP="00E0354B">
            <w:pPr>
              <w:jc w:val="center"/>
            </w:pPr>
            <w:r w:rsidRPr="00E0354B">
              <w:t>37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354B" w:rsidRPr="00E0354B" w:rsidRDefault="00E0354B" w:rsidP="00E0354B">
            <w:pPr>
              <w:jc w:val="center"/>
            </w:pPr>
            <w:r w:rsidRPr="00E0354B">
              <w:t>28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0354B" w:rsidRPr="00E0354B" w:rsidRDefault="00E0354B" w:rsidP="00E0354B">
            <w:pPr>
              <w:jc w:val="center"/>
            </w:pPr>
            <w:r w:rsidRPr="00E0354B">
              <w:t>41</w:t>
            </w:r>
          </w:p>
        </w:tc>
      </w:tr>
    </w:tbl>
    <w:p w:rsidR="00E0354B" w:rsidRPr="00E0354B" w:rsidRDefault="00E0354B" w:rsidP="00E0354B"/>
    <w:p w:rsidR="00E0354B" w:rsidRDefault="00E0354B" w:rsidP="00E0354B">
      <w:r>
        <w:t xml:space="preserve">Best likviditet har Brf 1 med ca. </w:t>
      </w:r>
      <w:r w:rsidR="006B3379">
        <w:t xml:space="preserve">SEK </w:t>
      </w:r>
      <w:r>
        <w:t xml:space="preserve">51 000 per medlem (hus). </w:t>
      </w:r>
      <w:r w:rsidR="00A7381E">
        <w:t xml:space="preserve">Brf 2 har ca. 40 000 og svakest likviditet har Brf 4 med ca. 28 000 per hus. </w:t>
      </w:r>
    </w:p>
    <w:p w:rsidR="000A118C" w:rsidRDefault="000A118C" w:rsidP="00E154D2">
      <w:pPr>
        <w:tabs>
          <w:tab w:val="num" w:pos="0"/>
        </w:tabs>
      </w:pPr>
    </w:p>
    <w:p w:rsidR="002C173F" w:rsidRPr="007B1F8D" w:rsidRDefault="002C173F" w:rsidP="00E15522">
      <w:pPr>
        <w:pStyle w:val="Overskrift2"/>
      </w:pPr>
      <w:r w:rsidRPr="007B1F8D">
        <w:t>Egenkapital</w:t>
      </w:r>
    </w:p>
    <w:p w:rsidR="00E77BDF" w:rsidRPr="00E77BDF" w:rsidRDefault="00E77BDF" w:rsidP="00E77BDF">
      <w:r w:rsidRPr="00E77BDF">
        <w:t xml:space="preserve">Egenkapitalen per hus </w:t>
      </w:r>
      <w:bookmarkStart w:id="6" w:name="_Hlk516414947"/>
      <w:r>
        <w:t>var per 30.06.2017</w:t>
      </w:r>
      <w:r w:rsidRPr="00E77BDF">
        <w:t xml:space="preserve"> </w:t>
      </w:r>
      <w:bookmarkEnd w:id="6"/>
      <w:r w:rsidRPr="00E77BDF">
        <w:t>slik</w:t>
      </w:r>
      <w:r>
        <w:t xml:space="preserve"> det framkommer i tabellen under (tall i 1 000 SEK):</w:t>
      </w:r>
    </w:p>
    <w:p w:rsidR="00E77BDF" w:rsidRPr="00E77BDF" w:rsidRDefault="00E77BDF" w:rsidP="00E77BDF"/>
    <w:tbl>
      <w:tblPr>
        <w:tblW w:w="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</w:tblGrid>
      <w:tr w:rsidR="00E77BDF" w:rsidRPr="002E1E51" w:rsidTr="00E77BDF">
        <w:trPr>
          <w:trHeight w:val="315"/>
          <w:tblHeader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DF" w:rsidRPr="002E1E51" w:rsidRDefault="00E77BDF" w:rsidP="000B7FC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E1E51">
              <w:rPr>
                <w:b/>
                <w:bCs/>
                <w:color w:val="000000"/>
                <w:szCs w:val="24"/>
              </w:rPr>
              <w:t>BRF1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DF" w:rsidRPr="002E1E51" w:rsidRDefault="00E77BDF" w:rsidP="000B7FC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E1E51">
              <w:rPr>
                <w:b/>
                <w:bCs/>
                <w:color w:val="000000"/>
                <w:szCs w:val="24"/>
              </w:rPr>
              <w:t>BRF2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DF" w:rsidRPr="002E1E51" w:rsidRDefault="00E77BDF" w:rsidP="000B7FC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E1E51">
              <w:rPr>
                <w:b/>
                <w:bCs/>
                <w:color w:val="000000"/>
                <w:szCs w:val="24"/>
              </w:rPr>
              <w:t>BRF3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DF" w:rsidRPr="002E1E51" w:rsidRDefault="00E77BDF" w:rsidP="000B7FC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2E1E51">
              <w:rPr>
                <w:b/>
                <w:bCs/>
                <w:color w:val="000000"/>
                <w:szCs w:val="24"/>
              </w:rPr>
              <w:t>BRF4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7BDF" w:rsidRPr="002E1E51" w:rsidRDefault="00D54C1F" w:rsidP="000B7FCA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GJ.SN.</w:t>
            </w:r>
          </w:p>
        </w:tc>
      </w:tr>
      <w:tr w:rsidR="00E77BDF" w:rsidRPr="00D54C1F" w:rsidTr="00E77BDF">
        <w:trPr>
          <w:trHeight w:val="3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DF" w:rsidRPr="00D54C1F" w:rsidRDefault="00E77BDF" w:rsidP="000B7FCA">
            <w:pPr>
              <w:jc w:val="right"/>
              <w:rPr>
                <w:bCs/>
                <w:color w:val="000000"/>
                <w:szCs w:val="24"/>
              </w:rPr>
            </w:pPr>
            <w:r w:rsidRPr="00D54C1F">
              <w:rPr>
                <w:bCs/>
                <w:color w:val="000000"/>
                <w:szCs w:val="24"/>
              </w:rPr>
              <w:t>2 383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DF" w:rsidRPr="00D54C1F" w:rsidRDefault="00E77BDF" w:rsidP="000B7FCA">
            <w:pPr>
              <w:jc w:val="right"/>
              <w:rPr>
                <w:bCs/>
                <w:color w:val="000000"/>
                <w:szCs w:val="24"/>
              </w:rPr>
            </w:pPr>
            <w:r w:rsidRPr="00D54C1F">
              <w:rPr>
                <w:bCs/>
                <w:color w:val="000000"/>
                <w:szCs w:val="24"/>
              </w:rPr>
              <w:t>2 554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DF" w:rsidRPr="00D54C1F" w:rsidRDefault="00E77BDF" w:rsidP="000B7FCA">
            <w:pPr>
              <w:jc w:val="right"/>
              <w:rPr>
                <w:bCs/>
                <w:color w:val="000000"/>
                <w:szCs w:val="24"/>
              </w:rPr>
            </w:pPr>
            <w:r w:rsidRPr="00D54C1F">
              <w:rPr>
                <w:bCs/>
                <w:color w:val="000000"/>
                <w:szCs w:val="24"/>
              </w:rPr>
              <w:t>2 775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DF" w:rsidRPr="00D54C1F" w:rsidRDefault="00E77BDF" w:rsidP="000B7FCA">
            <w:pPr>
              <w:jc w:val="right"/>
              <w:rPr>
                <w:bCs/>
                <w:color w:val="000000"/>
                <w:szCs w:val="24"/>
              </w:rPr>
            </w:pPr>
            <w:r w:rsidRPr="00D54C1F">
              <w:rPr>
                <w:bCs/>
                <w:color w:val="000000"/>
                <w:szCs w:val="24"/>
              </w:rPr>
              <w:t>2 813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DF" w:rsidRPr="00D54C1F" w:rsidRDefault="00E77BDF" w:rsidP="000B7FCA">
            <w:pPr>
              <w:jc w:val="right"/>
              <w:rPr>
                <w:bCs/>
                <w:color w:val="000000"/>
                <w:szCs w:val="24"/>
              </w:rPr>
            </w:pPr>
            <w:r w:rsidRPr="00D54C1F">
              <w:rPr>
                <w:bCs/>
                <w:color w:val="000000"/>
                <w:szCs w:val="24"/>
              </w:rPr>
              <w:t>2 584</w:t>
            </w:r>
          </w:p>
        </w:tc>
      </w:tr>
    </w:tbl>
    <w:p w:rsidR="00FA6E0B" w:rsidRDefault="00FA6E0B" w:rsidP="00FA6E0B"/>
    <w:p w:rsidR="00D54C1F" w:rsidRDefault="006B3379" w:rsidP="008454AB">
      <w:r>
        <w:t xml:space="preserve">Forskjellen i egenkapital har nok </w:t>
      </w:r>
      <w:r w:rsidR="001C4723">
        <w:t>s</w:t>
      </w:r>
      <w:r>
        <w:t>ammenheng med byggekostnader</w:t>
      </w:r>
      <w:r w:rsidR="00D54C1F">
        <w:t xml:space="preserve">. </w:t>
      </w:r>
    </w:p>
    <w:p w:rsidR="008454AB" w:rsidRDefault="008454AB" w:rsidP="008454AB"/>
    <w:p w:rsidR="002C173F" w:rsidRDefault="006B3379" w:rsidP="00E15522">
      <w:pPr>
        <w:pStyle w:val="Overskrift2"/>
      </w:pPr>
      <w:r>
        <w:t xml:space="preserve"> </w:t>
      </w:r>
      <w:r w:rsidR="002C173F">
        <w:t>Gjeld</w:t>
      </w:r>
    </w:p>
    <w:p w:rsidR="006B3379" w:rsidRDefault="002C173F" w:rsidP="00D54C1F">
      <w:r>
        <w:t xml:space="preserve">Med unntak av det felleslånet som ble tatt opp i forbindelse med bryggesaken, er gjelden i de enkelte Brf ubetydelig. </w:t>
      </w:r>
      <w:r w:rsidR="00863D63" w:rsidRPr="000B7FCA">
        <w:t xml:space="preserve">Saldo på felleslånet var per 30.06.2017 SEK 159 000 per hus. </w:t>
      </w:r>
      <w:r w:rsidR="00863D63" w:rsidRPr="00863D63">
        <w:t>Den kortsiktige gjelden i Brf</w:t>
      </w:r>
      <w:r w:rsidR="00863D63">
        <w:t>-</w:t>
      </w:r>
      <w:r w:rsidR="00863D63" w:rsidRPr="00863D63">
        <w:t>ene og består i d</w:t>
      </w:r>
      <w:r w:rsidR="00863D63">
        <w:t>et vesentlige av interimsskyld og forskuddsbetalt husleie. I Brf 3 er det en gjeldspost gjeldende forskudd fra kunder på SEK 6 000 per hus. Korrigert for denne posten i Brf 3 ligger samtlige Brf med en kortsiktig gjeld på ca. SEK 40 000.</w:t>
      </w:r>
    </w:p>
    <w:p w:rsidR="000E4E6C" w:rsidRDefault="000E4E6C" w:rsidP="00D54C1F"/>
    <w:p w:rsidR="009E6866" w:rsidRPr="00863D63" w:rsidRDefault="009E6866" w:rsidP="00D54C1F"/>
    <w:p w:rsidR="00D7482E" w:rsidRDefault="0033336C" w:rsidP="0033336C">
      <w:pPr>
        <w:pStyle w:val="Overskrift1"/>
      </w:pPr>
      <w:r>
        <w:t>Noen vurderinger av verdier</w:t>
      </w:r>
    </w:p>
    <w:p w:rsidR="009445F0" w:rsidRPr="00966C5F" w:rsidRDefault="009445F0" w:rsidP="00E15522">
      <w:pPr>
        <w:pStyle w:val="Overskrift2"/>
      </w:pPr>
      <w:r w:rsidRPr="00966C5F">
        <w:t xml:space="preserve">Verdier </w:t>
      </w:r>
      <w:r w:rsidR="00237825" w:rsidRPr="00966C5F">
        <w:t>av</w:t>
      </w:r>
      <w:r w:rsidRPr="00966C5F">
        <w:t xml:space="preserve"> husene </w:t>
      </w:r>
    </w:p>
    <w:p w:rsidR="00227028" w:rsidRDefault="008454AB" w:rsidP="006A727A">
      <w:r>
        <w:t>V</w:t>
      </w:r>
      <w:r w:rsidR="00F0468F">
        <w:t xml:space="preserve">ed en fusjon er det antakelig ikke så interessant for medlemmene hvilke verdier som er bokført i de enkelte Brf. </w:t>
      </w:r>
      <w:r w:rsidR="00227028">
        <w:t xml:space="preserve">Det er også slik at hvert enkelt medlem ikke kan "ta ut sin del av verdiene" fra sitt Brf, medlemmene har ikke krav på sin bokførte andel av Brf-ets verdier ved uttreden. Verdien for det enkelte medlem er </w:t>
      </w:r>
      <w:r w:rsidR="001C4723">
        <w:t xml:space="preserve">derfor </w:t>
      </w:r>
      <w:r w:rsidR="00227028">
        <w:t>hva det huset en disponerer kan omsettes for</w:t>
      </w:r>
      <w:r w:rsidR="001C4723">
        <w:t xml:space="preserve">. Den </w:t>
      </w:r>
      <w:r w:rsidR="00227028">
        <w:t>verdien gjenspeiler ikke en relativ andel av de bokførte verdiene i det enkelte Brf.</w:t>
      </w:r>
    </w:p>
    <w:p w:rsidR="00227028" w:rsidRDefault="00227028" w:rsidP="006A727A"/>
    <w:p w:rsidR="00C3247E" w:rsidRDefault="000F2FE7" w:rsidP="006A727A">
      <w:r>
        <w:t xml:space="preserve">Verdiene av de enkelte hus, målt ved sluttpris </w:t>
      </w:r>
      <w:r w:rsidR="00917491">
        <w:t>for omsatte hus de siste årene</w:t>
      </w:r>
      <w:r>
        <w:t>, synes ikke å avhenge av de bokførte verdiene i det enkelte Brf.</w:t>
      </w:r>
    </w:p>
    <w:p w:rsidR="000F2FE7" w:rsidRDefault="000F2FE7" w:rsidP="006A727A"/>
    <w:p w:rsidR="009445F0" w:rsidRDefault="009445F0" w:rsidP="00E15522">
      <w:pPr>
        <w:pStyle w:val="Overskrift2"/>
      </w:pPr>
      <w:r>
        <w:t>Likviditet</w:t>
      </w:r>
    </w:p>
    <w:p w:rsidR="00EB3934" w:rsidRDefault="00917491" w:rsidP="006A727A">
      <w:r>
        <w:t>D</w:t>
      </w:r>
      <w:r w:rsidR="009445F0">
        <w:t xml:space="preserve">et </w:t>
      </w:r>
      <w:r>
        <w:t xml:space="preserve">er som nevnt </w:t>
      </w:r>
      <w:r w:rsidR="009445F0">
        <w:t xml:space="preserve">en betydelig forskjell i likviditeten per medlem i de fire Brf-ene. Likviditeten gir bl.a. uttrykk for hvor godt rustet et Brf er for å møte uforutsette kostnader eller større vedlikeholdskostnader. </w:t>
      </w:r>
      <w:r w:rsidR="00EB3934">
        <w:t>Med ulike likvide verdier vil de eller det Brf-et som har den beste likviditeten bidra til økt likviditet i de Brf som har lavere likviditet. Medlemmer i Brf med god likviditet kan oppfatte det som et tap at den likviditet som "deres Brf" hadde opparbeidet skal deles med øvrige Brf ved en fusjon.</w:t>
      </w:r>
    </w:p>
    <w:p w:rsidR="00EB3934" w:rsidRDefault="00EB3934" w:rsidP="006A727A"/>
    <w:p w:rsidR="00EB3934" w:rsidRDefault="00EB3934" w:rsidP="006A727A">
      <w:r>
        <w:t>Problemet med ulikhetene i likviditet kan løses på mange måter, men de mest åpenbare synes å være:</w:t>
      </w:r>
    </w:p>
    <w:p w:rsidR="00EB3934" w:rsidRDefault="00EB3934" w:rsidP="006A727A"/>
    <w:p w:rsidR="00EB3934" w:rsidRDefault="00EB3934" w:rsidP="00EB3934">
      <w:pPr>
        <w:numPr>
          <w:ilvl w:val="0"/>
          <w:numId w:val="3"/>
        </w:numPr>
      </w:pPr>
      <w:r>
        <w:t xml:space="preserve">Medlemmene i de Brf-ene som har lavere likviditet per medlem enn det Brf som har mest, betaler inn forskjellen.  </w:t>
      </w:r>
    </w:p>
    <w:p w:rsidR="00EB3934" w:rsidRDefault="00EB3934" w:rsidP="00EB3934">
      <w:pPr>
        <w:numPr>
          <w:ilvl w:val="0"/>
          <w:numId w:val="3"/>
        </w:numPr>
      </w:pPr>
      <w:r>
        <w:t>Medlemmene i de Brf-ene som har høyere likviditet enn det Brf med lavest likviditet får utbetalt "overskuddslikviditeten" fra sitt Brf.</w:t>
      </w:r>
    </w:p>
    <w:p w:rsidR="00EB3934" w:rsidRDefault="00EB3934" w:rsidP="00EB3934">
      <w:pPr>
        <w:numPr>
          <w:ilvl w:val="0"/>
          <w:numId w:val="3"/>
        </w:numPr>
      </w:pPr>
      <w:r>
        <w:t>Forskjellene jevnes ut ved at husleien i de Brf-ene med best likviditet reduseres i en periode slik at likvide midler per medlem er likt i det enkelte Brf på sammenslutningstidspunktet eller på det tidspunkt en måtte avtale.</w:t>
      </w:r>
    </w:p>
    <w:p w:rsidR="00EB3934" w:rsidRDefault="00EB3934" w:rsidP="00EB3934">
      <w:pPr>
        <w:numPr>
          <w:ilvl w:val="0"/>
          <w:numId w:val="3"/>
        </w:numPr>
      </w:pPr>
      <w:r>
        <w:t xml:space="preserve">Alle medlemmene aksepterer at likviditeten til de mest likvide Brf-ene vannes ut, dvs. at alle likvider i det enkelte Brf på sammenslutningstidspunktet inngår i det nye Brf-et. </w:t>
      </w:r>
    </w:p>
    <w:p w:rsidR="00EB3934" w:rsidRDefault="00EB3934" w:rsidP="006A727A"/>
    <w:p w:rsidR="0007147F" w:rsidRDefault="00EB3934" w:rsidP="006A727A">
      <w:r>
        <w:lastRenderedPageBreak/>
        <w:t xml:space="preserve">I tabellen under er det tatt utgangspunkt i de tre første alternativene og utslagene for det enkelte </w:t>
      </w:r>
      <w:r w:rsidR="00D52D6D">
        <w:t xml:space="preserve">medlem i det enkelte </w:t>
      </w:r>
      <w:r>
        <w:t xml:space="preserve">Brf er </w:t>
      </w:r>
      <w:r w:rsidR="00D52D6D">
        <w:t>beregnet.</w:t>
      </w:r>
      <w:r w:rsidR="00F0468F">
        <w:t xml:space="preserve"> </w:t>
      </w:r>
    </w:p>
    <w:p w:rsidR="005968FB" w:rsidRDefault="005968FB" w:rsidP="005968FB"/>
    <w:tbl>
      <w:tblPr>
        <w:tblW w:w="9914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189"/>
        <w:gridCol w:w="1189"/>
        <w:gridCol w:w="1189"/>
        <w:gridCol w:w="1189"/>
        <w:gridCol w:w="1189"/>
      </w:tblGrid>
      <w:tr w:rsidR="005968FB" w:rsidRPr="004C69DE" w:rsidTr="00641397">
        <w:trPr>
          <w:trHeight w:val="31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FB" w:rsidRPr="004C69DE" w:rsidRDefault="005968FB" w:rsidP="00641397">
            <w:pPr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BRF1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BRF2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BRF3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BRF4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GJ.SN.</w:t>
            </w:r>
          </w:p>
        </w:tc>
      </w:tr>
      <w:tr w:rsidR="005968FB" w:rsidRPr="004C69DE" w:rsidTr="00641397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8FB" w:rsidRPr="004C69DE" w:rsidRDefault="005968FB" w:rsidP="00641397">
            <w:pPr>
              <w:rPr>
                <w:color w:val="000000"/>
                <w:szCs w:val="24"/>
              </w:rPr>
            </w:pPr>
            <w:r w:rsidRPr="004C69DE">
              <w:rPr>
                <w:bCs/>
                <w:color w:val="000000"/>
                <w:szCs w:val="24"/>
              </w:rPr>
              <w:t>Likvider</w:t>
            </w:r>
            <w:r w:rsidR="00EB3934">
              <w:rPr>
                <w:bCs/>
                <w:color w:val="000000"/>
                <w:szCs w:val="24"/>
              </w:rPr>
              <w:t xml:space="preserve"> ved sammenslutning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51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37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28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41</w:t>
            </w:r>
          </w:p>
        </w:tc>
      </w:tr>
      <w:tr w:rsidR="005968FB" w:rsidRPr="004C69DE" w:rsidTr="00641397">
        <w:trPr>
          <w:trHeight w:val="31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Innbetaling etter alt. 1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11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14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23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12</w:t>
            </w:r>
          </w:p>
        </w:tc>
      </w:tr>
      <w:tr w:rsidR="005968FB" w:rsidRPr="004C69DE" w:rsidTr="00641397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Likviditet etter innbetaling alt.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51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51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51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51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51</w:t>
            </w:r>
          </w:p>
        </w:tc>
      </w:tr>
      <w:tr w:rsidR="005968FB" w:rsidRPr="004C69DE" w:rsidTr="00641397">
        <w:trPr>
          <w:trHeight w:val="31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Utbetaling alt. 2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23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12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9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11</w:t>
            </w:r>
          </w:p>
        </w:tc>
      </w:tr>
      <w:tr w:rsidR="005968FB" w:rsidRPr="004C69DE" w:rsidTr="00641397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Likviditet etter utbetaling alt.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28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28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28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28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28</w:t>
            </w:r>
          </w:p>
        </w:tc>
      </w:tr>
      <w:tr w:rsidR="005968FB" w:rsidRPr="004C69DE" w:rsidTr="00641397">
        <w:trPr>
          <w:trHeight w:val="315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Husleiefritak alt. 3 (husleie 3 100 per mnd.)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 </w:t>
            </w:r>
          </w:p>
        </w:tc>
        <w:tc>
          <w:tcPr>
            <w:tcW w:w="1189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 </w:t>
            </w:r>
          </w:p>
        </w:tc>
      </w:tr>
      <w:tr w:rsidR="005968FB" w:rsidRPr="004C69DE" w:rsidTr="00641397">
        <w:trPr>
          <w:trHeight w:val="330"/>
        </w:trPr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Antall mnd. med husleiefritak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7,4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3,9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2,9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68FB" w:rsidRPr="004C69DE" w:rsidRDefault="005968FB" w:rsidP="00641397">
            <w:pPr>
              <w:jc w:val="center"/>
              <w:rPr>
                <w:color w:val="000000"/>
                <w:szCs w:val="24"/>
              </w:rPr>
            </w:pPr>
            <w:r w:rsidRPr="004C69DE">
              <w:rPr>
                <w:color w:val="000000"/>
                <w:szCs w:val="24"/>
              </w:rPr>
              <w:t> </w:t>
            </w:r>
          </w:p>
        </w:tc>
      </w:tr>
    </w:tbl>
    <w:p w:rsidR="005968FB" w:rsidRDefault="005968FB" w:rsidP="005968FB"/>
    <w:p w:rsidR="005968FB" w:rsidRDefault="008454AB" w:rsidP="005968FB">
      <w:r>
        <w:t>K</w:t>
      </w:r>
      <w:r w:rsidR="005968FB">
        <w:t>rav om lik likviditet ved sammenslutningen etter alt. 1 medføre at medlemmer i Brf 2 må betale inn 11 000, medlemmer i Brf 3 må betale inn 14 000 og medlemmer i Brf 4 må betale inn 23 000.</w:t>
      </w:r>
    </w:p>
    <w:p w:rsidR="00513F7D" w:rsidRDefault="00513F7D" w:rsidP="006A727A"/>
    <w:p w:rsidR="00955B05" w:rsidRDefault="00955B05" w:rsidP="006A727A">
      <w:r>
        <w:t xml:space="preserve">Tar en utgangspunkt i likviditeten i den Brf med lavest likviditet etter alt. 2 og betaler ut </w:t>
      </w:r>
      <w:r w:rsidR="0058223B">
        <w:t xml:space="preserve">"overskuddslikviditet" </w:t>
      </w:r>
      <w:r>
        <w:t>fra de øvrige Brf-ene, vil medlemmer i Brf 1 få 23 000, medlemmer i Brf 2 vil motta utbetaling på 12 000</w:t>
      </w:r>
      <w:r w:rsidR="0058223B">
        <w:t xml:space="preserve"> </w:t>
      </w:r>
      <w:r>
        <w:t xml:space="preserve">og medlemmene av Brf 3 vil motta utbetaling på 9 000. </w:t>
      </w:r>
      <w:r w:rsidR="00E15522">
        <w:t>Alternativ</w:t>
      </w:r>
      <w:r w:rsidR="008454AB">
        <w:t xml:space="preserve"> 2</w:t>
      </w:r>
      <w:r>
        <w:t xml:space="preserve"> vil gi en klart forverret likviditet i </w:t>
      </w:r>
      <w:r w:rsidR="0058223B">
        <w:t xml:space="preserve">det fusjonerte Brf enn det som de fire Brf-ene </w:t>
      </w:r>
      <w:r w:rsidR="008454AB">
        <w:t xml:space="preserve">samlet sett </w:t>
      </w:r>
      <w:r w:rsidR="0058223B">
        <w:t xml:space="preserve">hadde per 30.06.2017. </w:t>
      </w:r>
    </w:p>
    <w:p w:rsidR="0058223B" w:rsidRDefault="0058223B" w:rsidP="006A727A"/>
    <w:p w:rsidR="0058223B" w:rsidRDefault="0058223B" w:rsidP="006A727A">
      <w:r>
        <w:t xml:space="preserve">Dersom utgangspunktet for nivellering av likviditeten er å ikke betale husleie i det de Brf-ene som har bedre likviditet enn i det Brf som har dårligst likviditet, kan en i Brf 1 gi husleiefritak i 7,4 måneder, i Brf 2 han en gi husleiefritak i 3,9 måneder og i Brf 3 kan en gi husleiefritak i 2,9 måneder. På samme måte som for alt. 2 gir husleiefritak en betydelig forverret likviditet for et fusjonert Brf. </w:t>
      </w:r>
    </w:p>
    <w:p w:rsidR="004C69DE" w:rsidRDefault="004C69DE" w:rsidP="006A727A"/>
    <w:p w:rsidR="00FA2B64" w:rsidRDefault="00FA2B64" w:rsidP="00FA2B64">
      <w:r>
        <w:t>For å få avklart hvordan en kunne jevne ut forskjellene i likviditet ble det tatt kontakt med forretningsføreren i Ernst &amp; Young som ga følgende tilbakemelding per e-post 18.06.2018:</w:t>
      </w:r>
    </w:p>
    <w:p w:rsidR="00FA2B64" w:rsidRDefault="00FA2B64" w:rsidP="00FA2B64"/>
    <w:p w:rsidR="00FA2B64" w:rsidRPr="00FA2B64" w:rsidRDefault="00FA2B64" w:rsidP="00FA2B64">
      <w:pPr>
        <w:ind w:left="708"/>
        <w:rPr>
          <w:i/>
          <w:sz w:val="22"/>
          <w:lang w:val="sv-SE"/>
        </w:rPr>
      </w:pPr>
      <w:r w:rsidRPr="00FA2B64">
        <w:rPr>
          <w:i/>
          <w:lang w:val="sv-SE"/>
        </w:rPr>
        <w:t>Nu har jag varit i kontakt med en Rickard Wallström på Bostadsrätterna.</w:t>
      </w:r>
    </w:p>
    <w:p w:rsidR="00FA2B64" w:rsidRPr="00FA2B64" w:rsidRDefault="00FA2B64" w:rsidP="00FA2B64">
      <w:pPr>
        <w:ind w:left="708"/>
        <w:rPr>
          <w:i/>
          <w:lang w:val="sv-SE"/>
        </w:rPr>
      </w:pPr>
      <w:r w:rsidRPr="00FA2B64">
        <w:rPr>
          <w:i/>
          <w:lang w:val="sv-SE"/>
        </w:rPr>
        <w:t>Ett sätt att reglera tillgångarna i de olika föreningarna skulle kunna vara att ha avgiftsfritt i ett antal månader innan fusionen.</w:t>
      </w:r>
    </w:p>
    <w:p w:rsidR="00FA2B64" w:rsidRPr="00FA2B64" w:rsidRDefault="00FA2B64" w:rsidP="00FA2B64">
      <w:pPr>
        <w:ind w:left="708"/>
        <w:rPr>
          <w:i/>
          <w:lang w:val="sv-SE"/>
        </w:rPr>
      </w:pPr>
      <w:r w:rsidRPr="00FA2B64">
        <w:rPr>
          <w:i/>
          <w:lang w:val="sv-SE"/>
        </w:rPr>
        <w:t>Man får dock inte ställa ut kreditfakturor eller göra utbetalningar.</w:t>
      </w:r>
    </w:p>
    <w:p w:rsidR="00FA2B64" w:rsidRPr="00FA2B64" w:rsidRDefault="00FA2B64" w:rsidP="00FA2B64">
      <w:pPr>
        <w:rPr>
          <w:lang w:val="sv-SE"/>
        </w:rPr>
      </w:pPr>
    </w:p>
    <w:p w:rsidR="00FA2B64" w:rsidRDefault="00FA2B64" w:rsidP="00FA2B64">
      <w:r w:rsidRPr="00FA2B64">
        <w:t>Alternativ 2 med utbetaling er d</w:t>
      </w:r>
      <w:r>
        <w:t xml:space="preserve">erved uaktuelt og en står igjen med enten husleiefritak i en del måneder eller at medlemmer i Brf-ene 2 – 4 betaler inn de beløp som </w:t>
      </w:r>
      <w:r w:rsidR="00E206E7">
        <w:t>det er redegjort for i alt</w:t>
      </w:r>
      <w:r w:rsidR="009C6DFB">
        <w:t>ernativ</w:t>
      </w:r>
      <w:r w:rsidR="00E206E7">
        <w:t xml:space="preserve"> </w:t>
      </w:r>
      <w:r w:rsidR="009C6DFB">
        <w:t>1</w:t>
      </w:r>
      <w:r w:rsidR="009879BD">
        <w:t>.</w:t>
      </w:r>
      <w:r w:rsidR="00D52D6D">
        <w:t xml:space="preserve"> Men </w:t>
      </w:r>
      <w:r w:rsidR="009C6DFB">
        <w:t>en</w:t>
      </w:r>
      <w:r w:rsidR="00D52D6D">
        <w:t xml:space="preserve"> kan også slå sammen de fire Brf-ene uten å nivellere likviditeten mellom Brf-ene.</w:t>
      </w:r>
    </w:p>
    <w:p w:rsidR="005C1644" w:rsidRPr="00FA2B64" w:rsidRDefault="005C1644" w:rsidP="00FA2B64"/>
    <w:p w:rsidR="00513F7D" w:rsidRPr="00FA2B64" w:rsidRDefault="00FA2B64" w:rsidP="00FA2B64">
      <w:r w:rsidRPr="00FA2B64">
        <w:t xml:space="preserve">  </w:t>
      </w:r>
    </w:p>
    <w:p w:rsidR="00DA2341" w:rsidRDefault="0033336C" w:rsidP="0033336C">
      <w:pPr>
        <w:pStyle w:val="Overskrift1"/>
      </w:pPr>
      <w:r>
        <w:t>Andre momenter som må vurderes ved en sammenslåing</w:t>
      </w:r>
    </w:p>
    <w:p w:rsidR="0033336C" w:rsidRPr="0033336C" w:rsidRDefault="0033336C" w:rsidP="0033336C"/>
    <w:p w:rsidR="000A6775" w:rsidRDefault="000A6775" w:rsidP="00E15522">
      <w:pPr>
        <w:pStyle w:val="Overskrift2"/>
      </w:pPr>
      <w:bookmarkStart w:id="7" w:name="_Hlk520012405"/>
      <w:r>
        <w:t>Forholdet til ESF</w:t>
      </w:r>
    </w:p>
    <w:bookmarkEnd w:id="7"/>
    <w:p w:rsidR="00E919A0" w:rsidRDefault="0046781C" w:rsidP="00917491">
      <w:r>
        <w:t xml:space="preserve">Brf-ene har i dag fire stemmer i ESF. </w:t>
      </w:r>
    </w:p>
    <w:p w:rsidR="002B4E87" w:rsidRDefault="002B4E87" w:rsidP="00917491"/>
    <w:p w:rsidR="00E919A0" w:rsidRDefault="00E919A0" w:rsidP="000A6775">
      <w:r>
        <w:lastRenderedPageBreak/>
        <w:t>Om en slår sammen de fire Brf-ene vil det sammenslåtte Brf-et få en stemme på årsmøtet i ESF mot fire stemmer i dag. En sammenslutning krever derfor at det inngås en avtale med ESF som ivaretar Brf-enes økonomiske interesser.</w:t>
      </w:r>
    </w:p>
    <w:p w:rsidR="0046781C" w:rsidRDefault="0046781C" w:rsidP="000A6775"/>
    <w:p w:rsidR="000A6775" w:rsidRDefault="000A6775" w:rsidP="00E15522">
      <w:pPr>
        <w:pStyle w:val="Overskrift2"/>
      </w:pPr>
      <w:bookmarkStart w:id="8" w:name="_Hlk520041406"/>
      <w:bookmarkStart w:id="9" w:name="_Hlk530211800"/>
      <w:r>
        <w:t xml:space="preserve">Forholdet til Öddö </w:t>
      </w:r>
      <w:proofErr w:type="spellStart"/>
      <w:r w:rsidRPr="00E6585B">
        <w:t>vägsamfällighet</w:t>
      </w:r>
      <w:proofErr w:type="spellEnd"/>
      <w:r>
        <w:t xml:space="preserve"> </w:t>
      </w:r>
    </w:p>
    <w:bookmarkEnd w:id="8"/>
    <w:p w:rsidR="00421E01" w:rsidRDefault="00421E01" w:rsidP="00917491">
      <w:r>
        <w:t xml:space="preserve">En sammenslutning av Brf-ene vil i liten grad angå </w:t>
      </w:r>
      <w:r w:rsidRPr="00237825">
        <w:t>Öddö Vägsamfällighet</w:t>
      </w:r>
      <w:r>
        <w:t xml:space="preserve"> med unntak av melding om sammenslutning og nytt felles andelstall som antakelig vil være summen av de fire nåværende andelstallene.</w:t>
      </w:r>
    </w:p>
    <w:p w:rsidR="00E15522" w:rsidRDefault="00E15522" w:rsidP="00917491"/>
    <w:bookmarkEnd w:id="9"/>
    <w:p w:rsidR="00E15522" w:rsidRDefault="00E15522" w:rsidP="00E15522">
      <w:pPr>
        <w:pStyle w:val="Overskrift2"/>
      </w:pPr>
      <w:r>
        <w:t xml:space="preserve">Ulik standard </w:t>
      </w:r>
    </w:p>
    <w:p w:rsidR="00E15522" w:rsidRDefault="00A855DB" w:rsidP="00917491">
      <w:r>
        <w:t xml:space="preserve">Maling og vedlikehold er </w:t>
      </w:r>
      <w:r w:rsidR="00E206E7">
        <w:t xml:space="preserve">noe ulik i Brf-ene. Enkelte Brf har malt de siste årene, andre skal male. Selv om de framtidige kostnadene til vedlikehold på kort sikt kan variere mellom Brf-ene, vil de antakelig jevne seg ut over tid. </w:t>
      </w:r>
    </w:p>
    <w:p w:rsidR="00AF5F4F" w:rsidRDefault="00AF5F4F" w:rsidP="007B31FF">
      <w:pPr>
        <w:tabs>
          <w:tab w:val="num" w:pos="0"/>
        </w:tabs>
      </w:pPr>
    </w:p>
    <w:p w:rsidR="005A19EF" w:rsidRDefault="005A19EF" w:rsidP="00E15522">
      <w:pPr>
        <w:pStyle w:val="Overskrift2"/>
      </w:pPr>
      <w:r>
        <w:t>Kostnader ved en sammenslutning</w:t>
      </w:r>
    </w:p>
    <w:p w:rsidR="005A19EF" w:rsidRDefault="00235F39" w:rsidP="007B31FF">
      <w:pPr>
        <w:tabs>
          <w:tab w:val="num" w:pos="0"/>
        </w:tabs>
      </w:pPr>
      <w:r>
        <w:t xml:space="preserve">På hjemmesiden til Bolagsverket er det </w:t>
      </w:r>
      <w:r w:rsidR="00E206E7">
        <w:t>oppgitt</w:t>
      </w:r>
      <w:r>
        <w:t xml:space="preserve"> </w:t>
      </w:r>
      <w:r w:rsidR="00473CC9">
        <w:t>følgende offentlige avgifter i forbindelse med fusjon:</w:t>
      </w:r>
    </w:p>
    <w:p w:rsidR="00473CC9" w:rsidRDefault="00473CC9" w:rsidP="007B31FF">
      <w:pPr>
        <w:tabs>
          <w:tab w:val="num" w:pos="0"/>
        </w:tabs>
      </w:pPr>
    </w:p>
    <w:tbl>
      <w:tblPr>
        <w:tblW w:w="9000" w:type="dxa"/>
        <w:tblCellMar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9"/>
        <w:gridCol w:w="1130"/>
        <w:gridCol w:w="1081"/>
      </w:tblGrid>
      <w:tr w:rsidR="00473CC9" w:rsidRPr="00473CC9" w:rsidTr="00473CC9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73CC9" w:rsidRPr="00473CC9" w:rsidRDefault="00473CC9" w:rsidP="00473CC9">
            <w:pPr>
              <w:spacing w:after="120"/>
              <w:rPr>
                <w:b/>
                <w:bCs/>
                <w:color w:val="333333"/>
                <w:szCs w:val="24"/>
                <w:lang w:val="sv-SE"/>
              </w:rPr>
            </w:pPr>
            <w:r w:rsidRPr="00473CC9">
              <w:rPr>
                <w:b/>
                <w:bCs/>
                <w:color w:val="333333"/>
                <w:szCs w:val="24"/>
                <w:lang w:val="sv-SE"/>
              </w:rPr>
              <w:t>Fusion</w:t>
            </w:r>
          </w:p>
        </w:tc>
      </w:tr>
      <w:tr w:rsidR="00473CC9" w:rsidRPr="00473CC9" w:rsidTr="00473CC9">
        <w:trPr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73CC9" w:rsidRPr="00473CC9" w:rsidRDefault="00473CC9" w:rsidP="00473CC9">
            <w:pPr>
              <w:rPr>
                <w:b/>
                <w:bCs/>
                <w:color w:val="333333"/>
                <w:szCs w:val="24"/>
                <w:lang w:val="sv-SE"/>
              </w:rPr>
            </w:pPr>
            <w:r w:rsidRPr="00473CC9">
              <w:rPr>
                <w:b/>
                <w:bCs/>
                <w:color w:val="333333"/>
                <w:szCs w:val="24"/>
                <w:lang w:val="sv-SE"/>
              </w:rPr>
              <w:t>Ärende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73CC9" w:rsidRPr="00473CC9" w:rsidRDefault="00473CC9" w:rsidP="00473CC9">
            <w:pPr>
              <w:rPr>
                <w:b/>
                <w:bCs/>
                <w:color w:val="333333"/>
                <w:szCs w:val="24"/>
                <w:lang w:val="sv-SE"/>
              </w:rPr>
            </w:pPr>
            <w:r w:rsidRPr="00473CC9">
              <w:rPr>
                <w:b/>
                <w:bCs/>
                <w:color w:val="333333"/>
                <w:szCs w:val="24"/>
                <w:lang w:val="sv-SE"/>
              </w:rPr>
              <w:t>E-tjänst</w:t>
            </w:r>
          </w:p>
        </w:tc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73CC9" w:rsidRPr="00473CC9" w:rsidRDefault="00473CC9" w:rsidP="00473CC9">
            <w:pPr>
              <w:rPr>
                <w:b/>
                <w:bCs/>
                <w:color w:val="333333"/>
                <w:szCs w:val="24"/>
                <w:lang w:val="sv-SE"/>
              </w:rPr>
            </w:pPr>
            <w:r w:rsidRPr="00473CC9">
              <w:rPr>
                <w:b/>
                <w:bCs/>
                <w:color w:val="333333"/>
                <w:szCs w:val="24"/>
                <w:lang w:val="sv-SE"/>
              </w:rPr>
              <w:t>Blankett</w:t>
            </w:r>
          </w:p>
        </w:tc>
      </w:tr>
      <w:tr w:rsidR="00473CC9" w:rsidRPr="00473CC9" w:rsidTr="00473CC9">
        <w:tc>
          <w:tcPr>
            <w:tcW w:w="0" w:type="auto"/>
            <w:tcBorders>
              <w:top w:val="nil"/>
              <w:left w:val="single" w:sz="2" w:space="0" w:color="C5C7C8"/>
              <w:bottom w:val="single" w:sz="2" w:space="0" w:color="C5C7C8"/>
              <w:right w:val="single" w:sz="2" w:space="0" w:color="C5C7C8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0" w:type="dxa"/>
            </w:tcMar>
            <w:hideMark/>
          </w:tcPr>
          <w:p w:rsidR="00473CC9" w:rsidRPr="00473CC9" w:rsidRDefault="00473CC9" w:rsidP="00473CC9">
            <w:pPr>
              <w:rPr>
                <w:color w:val="333333"/>
                <w:szCs w:val="24"/>
                <w:lang w:val="sv-SE"/>
              </w:rPr>
            </w:pPr>
            <w:r w:rsidRPr="00473CC9">
              <w:rPr>
                <w:color w:val="333333"/>
                <w:szCs w:val="24"/>
                <w:lang w:val="sv-SE"/>
              </w:rPr>
              <w:t xml:space="preserve">Anmäla fusionsplan </w:t>
            </w:r>
          </w:p>
        </w:tc>
        <w:tc>
          <w:tcPr>
            <w:tcW w:w="0" w:type="auto"/>
            <w:tcBorders>
              <w:top w:val="nil"/>
              <w:left w:val="single" w:sz="2" w:space="0" w:color="C5C7C8"/>
              <w:bottom w:val="single" w:sz="2" w:space="0" w:color="C5C7C8"/>
              <w:right w:val="single" w:sz="2" w:space="0" w:color="C5C7C8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0" w:type="dxa"/>
            </w:tcMar>
            <w:hideMark/>
          </w:tcPr>
          <w:p w:rsidR="00473CC9" w:rsidRPr="00473CC9" w:rsidRDefault="00473CC9" w:rsidP="00473CC9">
            <w:pPr>
              <w:jc w:val="right"/>
              <w:rPr>
                <w:color w:val="333333"/>
                <w:szCs w:val="24"/>
                <w:lang w:val="sv-SE"/>
              </w:rPr>
            </w:pPr>
            <w:r w:rsidRPr="00473CC9">
              <w:rPr>
                <w:color w:val="333333"/>
                <w:szCs w:val="24"/>
                <w:lang w:val="sv-SE"/>
              </w:rPr>
              <w:t xml:space="preserve">Ej möjlig </w:t>
            </w:r>
          </w:p>
        </w:tc>
        <w:tc>
          <w:tcPr>
            <w:tcW w:w="0" w:type="auto"/>
            <w:tcBorders>
              <w:top w:val="nil"/>
              <w:left w:val="single" w:sz="2" w:space="0" w:color="C5C7C8"/>
              <w:bottom w:val="single" w:sz="2" w:space="0" w:color="C5C7C8"/>
              <w:right w:val="single" w:sz="2" w:space="0" w:color="C5C7C8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100" w:type="dxa"/>
            </w:tcMar>
            <w:hideMark/>
          </w:tcPr>
          <w:p w:rsidR="00473CC9" w:rsidRPr="00473CC9" w:rsidRDefault="00473CC9" w:rsidP="00473CC9">
            <w:pPr>
              <w:jc w:val="right"/>
              <w:rPr>
                <w:color w:val="333333"/>
                <w:szCs w:val="24"/>
                <w:lang w:val="sv-SE"/>
              </w:rPr>
            </w:pPr>
            <w:r w:rsidRPr="00473CC9">
              <w:rPr>
                <w:color w:val="333333"/>
                <w:szCs w:val="24"/>
                <w:bdr w:val="none" w:sz="0" w:space="0" w:color="auto" w:frame="1"/>
                <w:lang w:val="sv-SE"/>
              </w:rPr>
              <w:t>900</w:t>
            </w:r>
            <w:r w:rsidRPr="00473CC9">
              <w:rPr>
                <w:color w:val="333333"/>
                <w:szCs w:val="24"/>
                <w:lang w:val="sv-SE"/>
              </w:rPr>
              <w:t xml:space="preserve"> </w:t>
            </w:r>
          </w:p>
        </w:tc>
      </w:tr>
      <w:tr w:rsidR="00473CC9" w:rsidRPr="00473CC9" w:rsidTr="00473CC9">
        <w:tc>
          <w:tcPr>
            <w:tcW w:w="0" w:type="auto"/>
            <w:tcBorders>
              <w:top w:val="single" w:sz="2" w:space="0" w:color="C5C7C8"/>
              <w:left w:val="single" w:sz="2" w:space="0" w:color="C5C7C8"/>
              <w:bottom w:val="single" w:sz="2" w:space="0" w:color="C5C7C8"/>
              <w:right w:val="single" w:sz="2" w:space="0" w:color="C5C7C8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73CC9" w:rsidRPr="00473CC9" w:rsidRDefault="00473CC9" w:rsidP="00473CC9">
            <w:pPr>
              <w:rPr>
                <w:color w:val="333333"/>
                <w:szCs w:val="24"/>
                <w:lang w:val="sv-SE"/>
              </w:rPr>
            </w:pPr>
            <w:r w:rsidRPr="00473CC9">
              <w:rPr>
                <w:color w:val="333333"/>
                <w:szCs w:val="24"/>
                <w:lang w:val="sv-SE"/>
              </w:rPr>
              <w:t xml:space="preserve">Ansöka om tillstånd att verkställa fusionsplan </w:t>
            </w:r>
          </w:p>
        </w:tc>
        <w:tc>
          <w:tcPr>
            <w:tcW w:w="0" w:type="auto"/>
            <w:tcBorders>
              <w:top w:val="single" w:sz="2" w:space="0" w:color="C5C7C8"/>
              <w:left w:val="single" w:sz="2" w:space="0" w:color="C5C7C8"/>
              <w:bottom w:val="single" w:sz="2" w:space="0" w:color="C5C7C8"/>
              <w:right w:val="single" w:sz="2" w:space="0" w:color="C5C7C8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73CC9" w:rsidRPr="00473CC9" w:rsidRDefault="00473CC9" w:rsidP="00473CC9">
            <w:pPr>
              <w:jc w:val="right"/>
              <w:rPr>
                <w:color w:val="333333"/>
                <w:szCs w:val="24"/>
                <w:lang w:val="sv-SE"/>
              </w:rPr>
            </w:pPr>
            <w:r w:rsidRPr="00473CC9">
              <w:rPr>
                <w:color w:val="333333"/>
                <w:szCs w:val="24"/>
                <w:lang w:val="sv-SE"/>
              </w:rPr>
              <w:t xml:space="preserve">Ej möjlig </w:t>
            </w:r>
          </w:p>
        </w:tc>
        <w:tc>
          <w:tcPr>
            <w:tcW w:w="0" w:type="auto"/>
            <w:tcBorders>
              <w:top w:val="single" w:sz="2" w:space="0" w:color="C5C7C8"/>
              <w:left w:val="single" w:sz="2" w:space="0" w:color="C5C7C8"/>
              <w:bottom w:val="single" w:sz="2" w:space="0" w:color="C5C7C8"/>
              <w:right w:val="single" w:sz="2" w:space="0" w:color="C5C7C8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73CC9" w:rsidRPr="00473CC9" w:rsidRDefault="00473CC9" w:rsidP="00473CC9">
            <w:pPr>
              <w:jc w:val="right"/>
              <w:rPr>
                <w:color w:val="333333"/>
                <w:szCs w:val="24"/>
                <w:lang w:val="sv-SE"/>
              </w:rPr>
            </w:pPr>
            <w:r w:rsidRPr="00473CC9">
              <w:rPr>
                <w:color w:val="333333"/>
                <w:szCs w:val="24"/>
                <w:bdr w:val="none" w:sz="0" w:space="0" w:color="auto" w:frame="1"/>
                <w:lang w:val="sv-SE"/>
              </w:rPr>
              <w:t>900</w:t>
            </w:r>
            <w:r w:rsidRPr="00473CC9">
              <w:rPr>
                <w:color w:val="333333"/>
                <w:szCs w:val="24"/>
                <w:lang w:val="sv-SE"/>
              </w:rPr>
              <w:t xml:space="preserve"> </w:t>
            </w:r>
          </w:p>
        </w:tc>
      </w:tr>
      <w:tr w:rsidR="00473CC9" w:rsidRPr="00473CC9" w:rsidTr="00473CC9">
        <w:tc>
          <w:tcPr>
            <w:tcW w:w="0" w:type="auto"/>
            <w:tcBorders>
              <w:top w:val="single" w:sz="2" w:space="0" w:color="C5C7C8"/>
              <w:left w:val="single" w:sz="2" w:space="0" w:color="C5C7C8"/>
              <w:bottom w:val="single" w:sz="2" w:space="0" w:color="C5C7C8"/>
              <w:right w:val="single" w:sz="2" w:space="0" w:color="C5C7C8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73CC9" w:rsidRPr="00473CC9" w:rsidRDefault="00473CC9" w:rsidP="00473CC9">
            <w:pPr>
              <w:rPr>
                <w:color w:val="333333"/>
                <w:szCs w:val="24"/>
                <w:lang w:val="sv-SE"/>
              </w:rPr>
            </w:pPr>
            <w:r w:rsidRPr="00473CC9">
              <w:rPr>
                <w:color w:val="333333"/>
                <w:szCs w:val="24"/>
                <w:lang w:val="sv-SE"/>
              </w:rPr>
              <w:t xml:space="preserve">Anmäla genomförd fusion </w:t>
            </w:r>
          </w:p>
        </w:tc>
        <w:tc>
          <w:tcPr>
            <w:tcW w:w="0" w:type="auto"/>
            <w:tcBorders>
              <w:top w:val="single" w:sz="2" w:space="0" w:color="C5C7C8"/>
              <w:left w:val="single" w:sz="2" w:space="0" w:color="C5C7C8"/>
              <w:bottom w:val="single" w:sz="2" w:space="0" w:color="C5C7C8"/>
              <w:right w:val="single" w:sz="2" w:space="0" w:color="C5C7C8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73CC9" w:rsidRPr="00473CC9" w:rsidRDefault="00473CC9" w:rsidP="00473CC9">
            <w:pPr>
              <w:jc w:val="right"/>
              <w:rPr>
                <w:color w:val="333333"/>
                <w:szCs w:val="24"/>
                <w:lang w:val="sv-SE"/>
              </w:rPr>
            </w:pPr>
            <w:r w:rsidRPr="00473CC9">
              <w:rPr>
                <w:color w:val="333333"/>
                <w:szCs w:val="24"/>
                <w:lang w:val="sv-SE"/>
              </w:rPr>
              <w:t xml:space="preserve">Ej möjlig </w:t>
            </w:r>
          </w:p>
        </w:tc>
        <w:tc>
          <w:tcPr>
            <w:tcW w:w="0" w:type="auto"/>
            <w:tcBorders>
              <w:top w:val="single" w:sz="2" w:space="0" w:color="C5C7C8"/>
              <w:left w:val="single" w:sz="2" w:space="0" w:color="C5C7C8"/>
              <w:bottom w:val="single" w:sz="2" w:space="0" w:color="C5C7C8"/>
              <w:right w:val="single" w:sz="2" w:space="0" w:color="C5C7C8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73CC9" w:rsidRPr="00473CC9" w:rsidRDefault="00473CC9" w:rsidP="00473CC9">
            <w:pPr>
              <w:jc w:val="right"/>
              <w:rPr>
                <w:color w:val="333333"/>
                <w:szCs w:val="24"/>
                <w:lang w:val="sv-SE"/>
              </w:rPr>
            </w:pPr>
            <w:r w:rsidRPr="00473CC9">
              <w:rPr>
                <w:color w:val="333333"/>
                <w:szCs w:val="24"/>
                <w:bdr w:val="none" w:sz="0" w:space="0" w:color="auto" w:frame="1"/>
                <w:lang w:val="sv-SE"/>
              </w:rPr>
              <w:t>1 000</w:t>
            </w:r>
            <w:r w:rsidRPr="00473CC9">
              <w:rPr>
                <w:color w:val="333333"/>
                <w:szCs w:val="24"/>
                <w:lang w:val="sv-SE"/>
              </w:rPr>
              <w:t xml:space="preserve"> </w:t>
            </w:r>
          </w:p>
        </w:tc>
      </w:tr>
      <w:tr w:rsidR="00473CC9" w:rsidRPr="00473CC9" w:rsidTr="00473CC9">
        <w:tc>
          <w:tcPr>
            <w:tcW w:w="0" w:type="auto"/>
            <w:tcBorders>
              <w:top w:val="single" w:sz="2" w:space="0" w:color="C5C7C8"/>
              <w:left w:val="single" w:sz="2" w:space="0" w:color="C5C7C8"/>
              <w:bottom w:val="single" w:sz="2" w:space="0" w:color="C5C7C8"/>
              <w:right w:val="single" w:sz="2" w:space="0" w:color="C5C7C8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73CC9" w:rsidRPr="00473CC9" w:rsidRDefault="00473CC9" w:rsidP="00473CC9">
            <w:pPr>
              <w:rPr>
                <w:color w:val="333333"/>
                <w:szCs w:val="24"/>
                <w:lang w:val="sv-SE"/>
              </w:rPr>
            </w:pPr>
            <w:r w:rsidRPr="00473CC9">
              <w:rPr>
                <w:color w:val="333333"/>
                <w:szCs w:val="24"/>
                <w:lang w:val="sv-SE"/>
              </w:rPr>
              <w:t xml:space="preserve">Anmäla fler än en överlåtande förening i fusionsplanen, per styck </w:t>
            </w:r>
          </w:p>
        </w:tc>
        <w:tc>
          <w:tcPr>
            <w:tcW w:w="0" w:type="auto"/>
            <w:tcBorders>
              <w:top w:val="single" w:sz="2" w:space="0" w:color="C5C7C8"/>
              <w:left w:val="single" w:sz="2" w:space="0" w:color="C5C7C8"/>
              <w:bottom w:val="single" w:sz="2" w:space="0" w:color="C5C7C8"/>
              <w:right w:val="single" w:sz="2" w:space="0" w:color="C5C7C8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73CC9" w:rsidRPr="00473CC9" w:rsidRDefault="00473CC9" w:rsidP="00473CC9">
            <w:pPr>
              <w:jc w:val="right"/>
              <w:rPr>
                <w:color w:val="333333"/>
                <w:szCs w:val="24"/>
                <w:lang w:val="sv-SE"/>
              </w:rPr>
            </w:pPr>
            <w:r w:rsidRPr="00473CC9">
              <w:rPr>
                <w:color w:val="333333"/>
                <w:szCs w:val="24"/>
                <w:lang w:val="sv-SE"/>
              </w:rPr>
              <w:t xml:space="preserve">Ej möjlig </w:t>
            </w:r>
          </w:p>
        </w:tc>
        <w:tc>
          <w:tcPr>
            <w:tcW w:w="0" w:type="auto"/>
            <w:tcBorders>
              <w:top w:val="single" w:sz="2" w:space="0" w:color="C5C7C8"/>
              <w:left w:val="single" w:sz="2" w:space="0" w:color="C5C7C8"/>
              <w:bottom w:val="single" w:sz="2" w:space="0" w:color="C5C7C8"/>
              <w:right w:val="single" w:sz="2" w:space="0" w:color="C5C7C8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73CC9" w:rsidRPr="00473CC9" w:rsidRDefault="00473CC9" w:rsidP="00473CC9">
            <w:pPr>
              <w:jc w:val="right"/>
              <w:rPr>
                <w:color w:val="333333"/>
                <w:szCs w:val="24"/>
                <w:lang w:val="sv-SE"/>
              </w:rPr>
            </w:pPr>
            <w:r w:rsidRPr="00473CC9">
              <w:rPr>
                <w:color w:val="333333"/>
                <w:szCs w:val="24"/>
                <w:bdr w:val="none" w:sz="0" w:space="0" w:color="auto" w:frame="1"/>
                <w:lang w:val="sv-SE"/>
              </w:rPr>
              <w:t>500</w:t>
            </w:r>
            <w:r w:rsidRPr="00473CC9">
              <w:rPr>
                <w:color w:val="333333"/>
                <w:szCs w:val="24"/>
                <w:lang w:val="sv-SE"/>
              </w:rPr>
              <w:t xml:space="preserve"> </w:t>
            </w:r>
          </w:p>
        </w:tc>
      </w:tr>
      <w:tr w:rsidR="00473CC9" w:rsidRPr="00473CC9" w:rsidTr="00473CC9">
        <w:tc>
          <w:tcPr>
            <w:tcW w:w="0" w:type="auto"/>
            <w:tcBorders>
              <w:top w:val="single" w:sz="2" w:space="0" w:color="C5C7C8"/>
              <w:left w:val="single" w:sz="2" w:space="0" w:color="C5C7C8"/>
              <w:bottom w:val="single" w:sz="2" w:space="0" w:color="C5C7C8"/>
              <w:right w:val="single" w:sz="2" w:space="0" w:color="C5C7C8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73CC9" w:rsidRPr="00473CC9" w:rsidRDefault="00473CC9" w:rsidP="00473CC9">
            <w:pPr>
              <w:rPr>
                <w:color w:val="333333"/>
                <w:szCs w:val="24"/>
                <w:lang w:val="sv-SE"/>
              </w:rPr>
            </w:pPr>
            <w:r w:rsidRPr="00473CC9">
              <w:rPr>
                <w:color w:val="333333"/>
                <w:szCs w:val="24"/>
                <w:lang w:val="sv-SE"/>
              </w:rPr>
              <w:t xml:space="preserve">Avregistrering på grund av verkställd fusion med utländskt företag </w:t>
            </w:r>
          </w:p>
        </w:tc>
        <w:tc>
          <w:tcPr>
            <w:tcW w:w="0" w:type="auto"/>
            <w:tcBorders>
              <w:top w:val="single" w:sz="2" w:space="0" w:color="C5C7C8"/>
              <w:left w:val="single" w:sz="2" w:space="0" w:color="C5C7C8"/>
              <w:bottom w:val="single" w:sz="2" w:space="0" w:color="C5C7C8"/>
              <w:right w:val="single" w:sz="2" w:space="0" w:color="C5C7C8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73CC9" w:rsidRPr="00473CC9" w:rsidRDefault="00473CC9" w:rsidP="00473CC9">
            <w:pPr>
              <w:jc w:val="right"/>
              <w:rPr>
                <w:color w:val="333333"/>
                <w:szCs w:val="24"/>
                <w:lang w:val="sv-SE"/>
              </w:rPr>
            </w:pPr>
            <w:r w:rsidRPr="00473CC9">
              <w:rPr>
                <w:color w:val="333333"/>
                <w:szCs w:val="24"/>
                <w:lang w:val="sv-SE"/>
              </w:rPr>
              <w:t xml:space="preserve">Ej möjlig </w:t>
            </w:r>
          </w:p>
        </w:tc>
        <w:tc>
          <w:tcPr>
            <w:tcW w:w="0" w:type="auto"/>
            <w:tcBorders>
              <w:top w:val="single" w:sz="2" w:space="0" w:color="C5C7C8"/>
              <w:left w:val="single" w:sz="2" w:space="0" w:color="C5C7C8"/>
              <w:bottom w:val="single" w:sz="2" w:space="0" w:color="C5C7C8"/>
              <w:right w:val="single" w:sz="2" w:space="0" w:color="C5C7C8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473CC9" w:rsidRPr="00473CC9" w:rsidRDefault="00473CC9" w:rsidP="00473CC9">
            <w:pPr>
              <w:jc w:val="right"/>
              <w:rPr>
                <w:color w:val="333333"/>
                <w:szCs w:val="24"/>
                <w:lang w:val="sv-SE"/>
              </w:rPr>
            </w:pPr>
            <w:r w:rsidRPr="00473CC9">
              <w:rPr>
                <w:color w:val="333333"/>
                <w:szCs w:val="24"/>
                <w:bdr w:val="none" w:sz="0" w:space="0" w:color="auto" w:frame="1"/>
                <w:lang w:val="sv-SE"/>
              </w:rPr>
              <w:t>0</w:t>
            </w:r>
            <w:r w:rsidRPr="00473CC9">
              <w:rPr>
                <w:color w:val="333333"/>
                <w:szCs w:val="24"/>
                <w:lang w:val="sv-SE"/>
              </w:rPr>
              <w:t xml:space="preserve"> </w:t>
            </w:r>
          </w:p>
        </w:tc>
      </w:tr>
    </w:tbl>
    <w:p w:rsidR="00473CC9" w:rsidRDefault="00473CC9" w:rsidP="007B31FF">
      <w:pPr>
        <w:tabs>
          <w:tab w:val="num" w:pos="0"/>
        </w:tabs>
      </w:pPr>
    </w:p>
    <w:p w:rsidR="00DA2341" w:rsidRDefault="00473CC9" w:rsidP="00E154D2">
      <w:pPr>
        <w:tabs>
          <w:tab w:val="num" w:pos="0"/>
        </w:tabs>
      </w:pPr>
      <w:r>
        <w:t>I tillegg til disse avgiftene trengs bistand fra revisor og muligens også advokat. Hvor mye dette eventuelt kan koste er ikke undersøkt nærmere, men en må anta at det i hvert fall ligger i intervalle</w:t>
      </w:r>
      <w:r w:rsidR="005936E2">
        <w:t>t</w:t>
      </w:r>
      <w:r>
        <w:t xml:space="preserve"> 10 000 – 30 000 SEK.  </w:t>
      </w:r>
    </w:p>
    <w:sectPr w:rsidR="00DA2341" w:rsidSect="007751E3">
      <w:headerReference w:type="default" r:id="rId8"/>
      <w:pgSz w:w="11906" w:h="16838"/>
      <w:pgMar w:top="1276" w:right="1417" w:bottom="1417" w:left="993" w:header="56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48D" w:rsidRDefault="001B148D" w:rsidP="0012214C">
      <w:r>
        <w:separator/>
      </w:r>
    </w:p>
  </w:endnote>
  <w:endnote w:type="continuationSeparator" w:id="0">
    <w:p w:rsidR="001B148D" w:rsidRDefault="001B148D" w:rsidP="0012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48D" w:rsidRDefault="001B148D" w:rsidP="0012214C">
      <w:r>
        <w:separator/>
      </w:r>
    </w:p>
  </w:footnote>
  <w:footnote w:type="continuationSeparator" w:id="0">
    <w:p w:rsidR="001B148D" w:rsidRDefault="001B148D" w:rsidP="0012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085" w:rsidRPr="009E6866" w:rsidRDefault="00794085">
    <w:pPr>
      <w:pStyle w:val="Topptekst"/>
      <w:jc w:val="right"/>
      <w:rPr>
        <w:sz w:val="24"/>
        <w:szCs w:val="24"/>
      </w:rPr>
    </w:pPr>
    <w:r w:rsidRPr="009E6866">
      <w:rPr>
        <w:sz w:val="24"/>
        <w:szCs w:val="24"/>
      </w:rPr>
      <w:t xml:space="preserve">– </w:t>
    </w:r>
    <w:sdt>
      <w:sdtPr>
        <w:rPr>
          <w:sz w:val="24"/>
          <w:szCs w:val="24"/>
        </w:rPr>
        <w:id w:val="310840669"/>
        <w:docPartObj>
          <w:docPartGallery w:val="Page Numbers (Top of Page)"/>
          <w:docPartUnique/>
        </w:docPartObj>
      </w:sdtPr>
      <w:sdtContent>
        <w:r w:rsidRPr="009E6866">
          <w:rPr>
            <w:sz w:val="24"/>
            <w:szCs w:val="24"/>
          </w:rPr>
          <w:fldChar w:fldCharType="begin"/>
        </w:r>
        <w:r w:rsidRPr="009E6866">
          <w:rPr>
            <w:sz w:val="24"/>
            <w:szCs w:val="24"/>
          </w:rPr>
          <w:instrText>PAGE   \* MERGEFORMAT</w:instrText>
        </w:r>
        <w:r w:rsidRPr="009E6866">
          <w:rPr>
            <w:sz w:val="24"/>
            <w:szCs w:val="24"/>
          </w:rPr>
          <w:fldChar w:fldCharType="separate"/>
        </w:r>
        <w:r w:rsidRPr="009E6866">
          <w:rPr>
            <w:sz w:val="24"/>
            <w:szCs w:val="24"/>
          </w:rPr>
          <w:t>2</w:t>
        </w:r>
        <w:r w:rsidRPr="009E6866">
          <w:rPr>
            <w:sz w:val="24"/>
            <w:szCs w:val="24"/>
          </w:rPr>
          <w:fldChar w:fldCharType="end"/>
        </w:r>
        <w:r w:rsidRPr="009E6866">
          <w:rPr>
            <w:sz w:val="24"/>
            <w:szCs w:val="24"/>
          </w:rPr>
          <w:t xml:space="preserve"> –</w:t>
        </w:r>
      </w:sdtContent>
    </w:sdt>
  </w:p>
  <w:p w:rsidR="00794085" w:rsidRPr="00E154D2" w:rsidRDefault="00794085" w:rsidP="00E154D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48AA"/>
    <w:multiLevelType w:val="hybridMultilevel"/>
    <w:tmpl w:val="EA62730A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1509A5"/>
    <w:multiLevelType w:val="hybridMultilevel"/>
    <w:tmpl w:val="7D6C1F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C335D"/>
    <w:multiLevelType w:val="multilevel"/>
    <w:tmpl w:val="BDD2BF6E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Overskrift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Overskrift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4B2168D8"/>
    <w:multiLevelType w:val="hybridMultilevel"/>
    <w:tmpl w:val="F84AEA22"/>
    <w:lvl w:ilvl="0" w:tplc="A1E42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attachedTemplate r:id="rId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E3"/>
    <w:rsid w:val="0002363D"/>
    <w:rsid w:val="0007147F"/>
    <w:rsid w:val="000764BD"/>
    <w:rsid w:val="000A118C"/>
    <w:rsid w:val="000A6775"/>
    <w:rsid w:val="000B7FCA"/>
    <w:rsid w:val="000E4E6C"/>
    <w:rsid w:val="000E7BE9"/>
    <w:rsid w:val="000F2FE7"/>
    <w:rsid w:val="00115399"/>
    <w:rsid w:val="0012214C"/>
    <w:rsid w:val="00144DD7"/>
    <w:rsid w:val="00186240"/>
    <w:rsid w:val="001B148D"/>
    <w:rsid w:val="001C1520"/>
    <w:rsid w:val="001C4723"/>
    <w:rsid w:val="002105E7"/>
    <w:rsid w:val="00224BB9"/>
    <w:rsid w:val="00227028"/>
    <w:rsid w:val="00235F39"/>
    <w:rsid w:val="00237825"/>
    <w:rsid w:val="002450FE"/>
    <w:rsid w:val="00270EA4"/>
    <w:rsid w:val="002B4E87"/>
    <w:rsid w:val="002C173F"/>
    <w:rsid w:val="002E1E51"/>
    <w:rsid w:val="003003BC"/>
    <w:rsid w:val="0033336C"/>
    <w:rsid w:val="0033427F"/>
    <w:rsid w:val="00357A4B"/>
    <w:rsid w:val="003639AE"/>
    <w:rsid w:val="00384A7B"/>
    <w:rsid w:val="0038742F"/>
    <w:rsid w:val="003B7A6F"/>
    <w:rsid w:val="00415888"/>
    <w:rsid w:val="00421E01"/>
    <w:rsid w:val="004519D3"/>
    <w:rsid w:val="0046781C"/>
    <w:rsid w:val="00467EC1"/>
    <w:rsid w:val="00473CC9"/>
    <w:rsid w:val="004C69DE"/>
    <w:rsid w:val="004F5CC7"/>
    <w:rsid w:val="00513F7D"/>
    <w:rsid w:val="00547EAA"/>
    <w:rsid w:val="0055146D"/>
    <w:rsid w:val="00565E74"/>
    <w:rsid w:val="0058223B"/>
    <w:rsid w:val="005936E2"/>
    <w:rsid w:val="005968FB"/>
    <w:rsid w:val="005A19EF"/>
    <w:rsid w:val="005B5D03"/>
    <w:rsid w:val="005C1644"/>
    <w:rsid w:val="0060385C"/>
    <w:rsid w:val="00607614"/>
    <w:rsid w:val="00640E46"/>
    <w:rsid w:val="00641397"/>
    <w:rsid w:val="00664DF6"/>
    <w:rsid w:val="006A727A"/>
    <w:rsid w:val="006B3379"/>
    <w:rsid w:val="006B5824"/>
    <w:rsid w:val="006F0EED"/>
    <w:rsid w:val="00733B21"/>
    <w:rsid w:val="00746C71"/>
    <w:rsid w:val="007751E3"/>
    <w:rsid w:val="00792C9E"/>
    <w:rsid w:val="00794085"/>
    <w:rsid w:val="007A21C3"/>
    <w:rsid w:val="007B1F8D"/>
    <w:rsid w:val="007B31FF"/>
    <w:rsid w:val="007D109C"/>
    <w:rsid w:val="008454AB"/>
    <w:rsid w:val="00857C5E"/>
    <w:rsid w:val="00863D63"/>
    <w:rsid w:val="008B208A"/>
    <w:rsid w:val="00917491"/>
    <w:rsid w:val="009323D2"/>
    <w:rsid w:val="00933155"/>
    <w:rsid w:val="009445F0"/>
    <w:rsid w:val="00955B05"/>
    <w:rsid w:val="00966C5F"/>
    <w:rsid w:val="009879BD"/>
    <w:rsid w:val="0099321E"/>
    <w:rsid w:val="009A3CC4"/>
    <w:rsid w:val="009C6DFB"/>
    <w:rsid w:val="009E6866"/>
    <w:rsid w:val="00A42652"/>
    <w:rsid w:val="00A7381E"/>
    <w:rsid w:val="00A855DB"/>
    <w:rsid w:val="00AA3FEB"/>
    <w:rsid w:val="00AA4E80"/>
    <w:rsid w:val="00AB5D04"/>
    <w:rsid w:val="00AD2A88"/>
    <w:rsid w:val="00AD2CA0"/>
    <w:rsid w:val="00AF5F4F"/>
    <w:rsid w:val="00B01BC8"/>
    <w:rsid w:val="00B0791B"/>
    <w:rsid w:val="00BA2352"/>
    <w:rsid w:val="00BC167B"/>
    <w:rsid w:val="00BE7F67"/>
    <w:rsid w:val="00C0450F"/>
    <w:rsid w:val="00C3247E"/>
    <w:rsid w:val="00C35891"/>
    <w:rsid w:val="00C56378"/>
    <w:rsid w:val="00C814B4"/>
    <w:rsid w:val="00C936E0"/>
    <w:rsid w:val="00CA0502"/>
    <w:rsid w:val="00D318BB"/>
    <w:rsid w:val="00D52D6D"/>
    <w:rsid w:val="00D54C1F"/>
    <w:rsid w:val="00D7482E"/>
    <w:rsid w:val="00D74B43"/>
    <w:rsid w:val="00D875D9"/>
    <w:rsid w:val="00DA218B"/>
    <w:rsid w:val="00DA2341"/>
    <w:rsid w:val="00E00F97"/>
    <w:rsid w:val="00E0354B"/>
    <w:rsid w:val="00E154D2"/>
    <w:rsid w:val="00E15522"/>
    <w:rsid w:val="00E206E7"/>
    <w:rsid w:val="00E277C3"/>
    <w:rsid w:val="00E542E3"/>
    <w:rsid w:val="00E6585B"/>
    <w:rsid w:val="00E77BDF"/>
    <w:rsid w:val="00E919A0"/>
    <w:rsid w:val="00EA77D2"/>
    <w:rsid w:val="00EB3934"/>
    <w:rsid w:val="00ED2C1E"/>
    <w:rsid w:val="00F00175"/>
    <w:rsid w:val="00F0468F"/>
    <w:rsid w:val="00F4665F"/>
    <w:rsid w:val="00F47273"/>
    <w:rsid w:val="00F47293"/>
    <w:rsid w:val="00F8361E"/>
    <w:rsid w:val="00FA2B64"/>
    <w:rsid w:val="00FA6E0B"/>
    <w:rsid w:val="00FC462C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984A3"/>
  <w15:docId w15:val="{113C59A3-D3FB-458B-9713-43FCA36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462C"/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qFormat/>
    <w:rsid w:val="0033336C"/>
    <w:pPr>
      <w:keepNext/>
      <w:numPr>
        <w:numId w:val="1"/>
      </w:numPr>
      <w:outlineLvl w:val="0"/>
    </w:pPr>
    <w:rPr>
      <w:b/>
      <w:smallCaps/>
      <w:kern w:val="28"/>
    </w:rPr>
  </w:style>
  <w:style w:type="paragraph" w:styleId="Overskrift2">
    <w:name w:val="heading 2"/>
    <w:basedOn w:val="Normal"/>
    <w:next w:val="Normal"/>
    <w:link w:val="Overskrift2Tegn"/>
    <w:autoRedefine/>
    <w:qFormat/>
    <w:rsid w:val="00E15522"/>
    <w:pPr>
      <w:keepNext/>
      <w:numPr>
        <w:ilvl w:val="1"/>
        <w:numId w:val="1"/>
      </w:numPr>
      <w:ind w:left="426"/>
      <w:outlineLvl w:val="1"/>
    </w:pPr>
    <w:rPr>
      <w:b/>
      <w:bCs/>
      <w:szCs w:val="24"/>
    </w:rPr>
  </w:style>
  <w:style w:type="paragraph" w:styleId="Overskrift3">
    <w:name w:val="heading 3"/>
    <w:basedOn w:val="Normal"/>
    <w:next w:val="Normal"/>
    <w:link w:val="Overskrift3Tegn"/>
    <w:autoRedefine/>
    <w:qFormat/>
    <w:rsid w:val="007B1F8D"/>
    <w:pPr>
      <w:keepNext/>
      <w:numPr>
        <w:ilvl w:val="2"/>
        <w:numId w:val="1"/>
      </w:numPr>
      <w:outlineLvl w:val="2"/>
    </w:pPr>
    <w:rPr>
      <w:b/>
    </w:rPr>
  </w:style>
  <w:style w:type="paragraph" w:styleId="Overskrift4">
    <w:name w:val="heading 4"/>
    <w:basedOn w:val="Normal"/>
    <w:next w:val="Vanliginnrykk"/>
    <w:autoRedefine/>
    <w:qFormat/>
    <w:rsid w:val="00FC462C"/>
    <w:pPr>
      <w:numPr>
        <w:ilvl w:val="3"/>
        <w:numId w:val="1"/>
      </w:numPr>
      <w:outlineLvl w:val="3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rsid w:val="00FC462C"/>
    <w:pPr>
      <w:ind w:left="708"/>
    </w:pPr>
  </w:style>
  <w:style w:type="paragraph" w:customStyle="1" w:styleId="H2">
    <w:name w:val="H2"/>
    <w:basedOn w:val="Normal"/>
    <w:next w:val="Normal"/>
    <w:rsid w:val="00FC462C"/>
    <w:pPr>
      <w:keepNext/>
      <w:spacing w:before="100" w:after="100"/>
      <w:outlineLvl w:val="2"/>
    </w:pPr>
    <w:rPr>
      <w:b/>
      <w:snapToGrid w:val="0"/>
      <w:sz w:val="36"/>
    </w:rPr>
  </w:style>
  <w:style w:type="paragraph" w:styleId="INNH1">
    <w:name w:val="toc 1"/>
    <w:basedOn w:val="Normal"/>
    <w:next w:val="Normal"/>
    <w:autoRedefine/>
    <w:semiHidden/>
    <w:rsid w:val="00FC462C"/>
    <w:pPr>
      <w:tabs>
        <w:tab w:val="num" w:pos="425"/>
      </w:tabs>
      <w:ind w:left="425" w:hanging="425"/>
    </w:pPr>
  </w:style>
  <w:style w:type="paragraph" w:customStyle="1" w:styleId="H4">
    <w:name w:val="H4"/>
    <w:basedOn w:val="Normal"/>
    <w:next w:val="Normal"/>
    <w:rsid w:val="00FC462C"/>
    <w:pPr>
      <w:keepNext/>
      <w:spacing w:before="100" w:after="100"/>
      <w:outlineLvl w:val="4"/>
    </w:pPr>
    <w:rPr>
      <w:b/>
      <w:snapToGrid w:val="0"/>
    </w:rPr>
  </w:style>
  <w:style w:type="paragraph" w:customStyle="1" w:styleId="DefinitionTerm">
    <w:name w:val="Definition Term"/>
    <w:basedOn w:val="Normal"/>
    <w:next w:val="DefinitionList"/>
    <w:rsid w:val="00FC462C"/>
    <w:rPr>
      <w:snapToGrid w:val="0"/>
    </w:rPr>
  </w:style>
  <w:style w:type="paragraph" w:customStyle="1" w:styleId="DefinitionList">
    <w:name w:val="Definition List"/>
    <w:basedOn w:val="Normal"/>
    <w:next w:val="DefinitionTerm"/>
    <w:rsid w:val="00FC462C"/>
    <w:pPr>
      <w:ind w:left="360"/>
    </w:pPr>
    <w:rPr>
      <w:snapToGrid w:val="0"/>
    </w:rPr>
  </w:style>
  <w:style w:type="paragraph" w:customStyle="1" w:styleId="Blockquote">
    <w:name w:val="Blockquote"/>
    <w:basedOn w:val="Normal"/>
    <w:rsid w:val="00FC462C"/>
    <w:pPr>
      <w:spacing w:before="100" w:after="100"/>
      <w:ind w:left="360" w:right="360"/>
    </w:pPr>
    <w:rPr>
      <w:snapToGrid w:val="0"/>
    </w:rPr>
  </w:style>
  <w:style w:type="character" w:styleId="Merknadsreferanse">
    <w:name w:val="annotation reference"/>
    <w:basedOn w:val="Standardskriftforavsnitt"/>
    <w:semiHidden/>
    <w:rsid w:val="00FC462C"/>
    <w:rPr>
      <w:rFonts w:ascii="Arial" w:hAnsi="Arial"/>
      <w:sz w:val="16"/>
      <w:szCs w:val="16"/>
    </w:rPr>
  </w:style>
  <w:style w:type="paragraph" w:customStyle="1" w:styleId="TOCBase">
    <w:name w:val="TOC Base"/>
    <w:basedOn w:val="Normal"/>
    <w:rsid w:val="00FC462C"/>
    <w:rPr>
      <w:rFonts w:ascii="Arial" w:hAnsi="Arial"/>
      <w:sz w:val="20"/>
      <w:lang w:eastAsia="en-US"/>
    </w:rPr>
  </w:style>
  <w:style w:type="paragraph" w:styleId="Merknadstekst">
    <w:name w:val="annotation text"/>
    <w:basedOn w:val="Normal"/>
    <w:semiHidden/>
    <w:rsid w:val="00FC462C"/>
    <w:rPr>
      <w:rFonts w:ascii="Arial" w:hAnsi="Arial"/>
      <w:sz w:val="20"/>
      <w:lang w:eastAsia="en-US"/>
    </w:rPr>
  </w:style>
  <w:style w:type="paragraph" w:styleId="Topptekst">
    <w:name w:val="header"/>
    <w:basedOn w:val="Normal"/>
    <w:link w:val="TopptekstTegn"/>
    <w:uiPriority w:val="99"/>
    <w:rsid w:val="00FC462C"/>
    <w:pPr>
      <w:tabs>
        <w:tab w:val="center" w:pos="4536"/>
        <w:tab w:val="right" w:pos="9072"/>
      </w:tabs>
    </w:pPr>
    <w:rPr>
      <w:sz w:val="20"/>
    </w:rPr>
  </w:style>
  <w:style w:type="paragraph" w:styleId="Fotnotetekst">
    <w:name w:val="footnote text"/>
    <w:basedOn w:val="Normal"/>
    <w:semiHidden/>
    <w:rsid w:val="00FC462C"/>
    <w:rPr>
      <w:sz w:val="20"/>
      <w:lang w:val="en-US" w:eastAsia="en-US"/>
    </w:rPr>
  </w:style>
  <w:style w:type="character" w:styleId="Fotnotereferanse">
    <w:name w:val="footnote reference"/>
    <w:basedOn w:val="Standardskriftforavsnitt"/>
    <w:semiHidden/>
    <w:rsid w:val="00FC462C"/>
    <w:rPr>
      <w:vertAlign w:val="superscript"/>
    </w:rPr>
  </w:style>
  <w:style w:type="paragraph" w:customStyle="1" w:styleId="Overskrift">
    <w:name w:val="Overskrift"/>
    <w:basedOn w:val="Normal"/>
    <w:rsid w:val="0012214C"/>
    <w:pPr>
      <w:widowControl w:val="0"/>
    </w:pPr>
    <w:rPr>
      <w:b/>
    </w:rPr>
  </w:style>
  <w:style w:type="paragraph" w:styleId="Bunntekst">
    <w:name w:val="footer"/>
    <w:basedOn w:val="Normal"/>
    <w:link w:val="BunntekstTegn"/>
    <w:uiPriority w:val="99"/>
    <w:unhideWhenUsed/>
    <w:rsid w:val="00E154D2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154D2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154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54D2"/>
    <w:rPr>
      <w:rFonts w:ascii="Tahoma" w:hAnsi="Tahoma" w:cs="Tahoma"/>
      <w:sz w:val="16"/>
      <w:szCs w:val="16"/>
    </w:rPr>
  </w:style>
  <w:style w:type="paragraph" w:customStyle="1" w:styleId="Forslagvedtak">
    <w:name w:val="Forslag_vedtak"/>
    <w:basedOn w:val="Normal"/>
    <w:rsid w:val="00CA0502"/>
    <w:pPr>
      <w:widowControl w:val="0"/>
      <w:tabs>
        <w:tab w:val="left" w:pos="1191"/>
        <w:tab w:val="left" w:pos="2495"/>
        <w:tab w:val="left" w:pos="3799"/>
        <w:tab w:val="left" w:pos="5103"/>
        <w:tab w:val="left" w:pos="6407"/>
        <w:tab w:val="left" w:pos="7711"/>
        <w:tab w:val="left" w:pos="9015"/>
        <w:tab w:val="left" w:pos="10319"/>
      </w:tabs>
      <w:ind w:left="2977" w:hanging="1701"/>
    </w:pPr>
    <w:rPr>
      <w:color w:val="0000FF"/>
      <w:szCs w:val="24"/>
    </w:rPr>
  </w:style>
  <w:style w:type="character" w:customStyle="1" w:styleId="Overskrift1Tegn">
    <w:name w:val="Overskrift 1 Tegn"/>
    <w:basedOn w:val="Standardskriftforavsnitt"/>
    <w:link w:val="Overskrift1"/>
    <w:rsid w:val="0033336C"/>
    <w:rPr>
      <w:b/>
      <w:smallCaps/>
      <w:kern w:val="28"/>
      <w:sz w:val="24"/>
    </w:rPr>
  </w:style>
  <w:style w:type="paragraph" w:styleId="NormalWeb">
    <w:name w:val="Normal (Web)"/>
    <w:basedOn w:val="Normal"/>
    <w:uiPriority w:val="99"/>
    <w:semiHidden/>
    <w:unhideWhenUsed/>
    <w:rsid w:val="00C0450F"/>
    <w:pPr>
      <w:spacing w:before="100" w:beforeAutospacing="1" w:after="100" w:afterAutospacing="1"/>
    </w:pPr>
    <w:rPr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C0450F"/>
    <w:rPr>
      <w:color w:val="0000FF"/>
      <w:u w:val="single"/>
    </w:rPr>
  </w:style>
  <w:style w:type="character" w:customStyle="1" w:styleId="paragrafbeteckning">
    <w:name w:val="paragrafbeteckning"/>
    <w:basedOn w:val="Standardskriftforavsnitt"/>
    <w:rsid w:val="00C0450F"/>
  </w:style>
  <w:style w:type="character" w:customStyle="1" w:styleId="andringsnot">
    <w:name w:val="andringsnot"/>
    <w:basedOn w:val="Standardskriftforavsnitt"/>
    <w:rsid w:val="00C0450F"/>
  </w:style>
  <w:style w:type="character" w:customStyle="1" w:styleId="Overskrift2Tegn">
    <w:name w:val="Overskrift 2 Tegn"/>
    <w:basedOn w:val="Standardskriftforavsnitt"/>
    <w:link w:val="Overskrift2"/>
    <w:rsid w:val="00E15522"/>
    <w:rPr>
      <w:b/>
      <w:bCs/>
      <w:sz w:val="24"/>
      <w:szCs w:val="24"/>
    </w:rPr>
  </w:style>
  <w:style w:type="table" w:styleId="Tabellrutenett">
    <w:name w:val="Table Grid"/>
    <w:basedOn w:val="Vanligtabell"/>
    <w:uiPriority w:val="59"/>
    <w:rsid w:val="00B0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rsid w:val="007B1F8D"/>
    <w:rPr>
      <w:b/>
      <w:sz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9E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E\SSP\MALER\Overskrifter%20i%20not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0753-AB62-45F4-B035-085CAAE1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Overskrifter i notat</Template>
  <TotalTime>85</TotalTime>
  <Pages>6</Pages>
  <Words>2121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</vt:lpstr>
    </vt:vector>
  </TitlesOfParts>
  <Company>Fellesforbundet</Company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Svein</dc:creator>
  <cp:keywords/>
  <dc:description/>
  <cp:lastModifiedBy>Svein</cp:lastModifiedBy>
  <cp:revision>5</cp:revision>
  <cp:lastPrinted>2002-10-31T13:12:00Z</cp:lastPrinted>
  <dcterms:created xsi:type="dcterms:W3CDTF">2018-11-16T13:19:00Z</dcterms:created>
  <dcterms:modified xsi:type="dcterms:W3CDTF">2018-11-17T11:12:00Z</dcterms:modified>
</cp:coreProperties>
</file>